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82824" w14:textId="42FB98AB" w:rsidR="0079130C" w:rsidRPr="004727E4" w:rsidRDefault="0079130C" w:rsidP="0079130C">
      <w:pPr>
        <w:pStyle w:val="Titolo1"/>
        <w:jc w:val="both"/>
      </w:pPr>
      <w:bookmarkStart w:id="0" w:name="_Toc436729934"/>
      <w:bookmarkStart w:id="1" w:name="_GoBack"/>
      <w:bookmarkEnd w:id="1"/>
      <w:r>
        <w:t xml:space="preserve">Indice per </w:t>
      </w:r>
      <w:bookmarkEnd w:id="0"/>
      <w:r w:rsidR="00CE1081">
        <w:t>la relazione sul sistema di gestione e controllo degli Organismi Intermedi</w:t>
      </w:r>
    </w:p>
    <w:p w14:paraId="6038E82F" w14:textId="77777777" w:rsidR="0079130C" w:rsidRDefault="0079130C" w:rsidP="0079130C">
      <w:pPr>
        <w:spacing w:before="60" w:after="60"/>
        <w:jc w:val="both"/>
      </w:pPr>
    </w:p>
    <w:p w14:paraId="02303DB4" w14:textId="4FCF4D6D" w:rsidR="0079130C" w:rsidRDefault="0079130C" w:rsidP="0079130C">
      <w:pPr>
        <w:pStyle w:val="Titolo2"/>
        <w:jc w:val="both"/>
      </w:pPr>
      <w:bookmarkStart w:id="2" w:name="_Toc436729935"/>
      <w:r>
        <w:t xml:space="preserve">1. </w:t>
      </w:r>
      <w:r>
        <w:tab/>
      </w:r>
      <w:r w:rsidR="00AB7A91">
        <w:t>DATI GENERALI</w:t>
      </w:r>
      <w:r>
        <w:t xml:space="preserve"> </w:t>
      </w:r>
      <w:bookmarkEnd w:id="2"/>
    </w:p>
    <w:p w14:paraId="7BC9063A" w14:textId="4C92B411" w:rsidR="00AB7A91" w:rsidRDefault="00AB7A91" w:rsidP="00AB7A91">
      <w:pPr>
        <w:pStyle w:val="Titolo3"/>
        <w:jc w:val="both"/>
      </w:pPr>
      <w:bookmarkStart w:id="3" w:name="_Toc436729936"/>
      <w:r>
        <w:t>1.1</w:t>
      </w:r>
      <w:r>
        <w:tab/>
        <w:t>Titolo del PO</w:t>
      </w:r>
    </w:p>
    <w:p w14:paraId="65F6EA98" w14:textId="2C4E2A2B" w:rsidR="00AB7A91" w:rsidRPr="00AB7A91" w:rsidRDefault="00AB7A91" w:rsidP="00AB7A91">
      <w:r>
        <w:tab/>
        <w:t>Programma Regionale FESR Sicilia 20</w:t>
      </w:r>
      <w:r w:rsidR="007E4C86">
        <w:t>21</w:t>
      </w:r>
      <w:r>
        <w:t>/202</w:t>
      </w:r>
      <w:r w:rsidR="007E4C86">
        <w:t>7</w:t>
      </w:r>
    </w:p>
    <w:p w14:paraId="6A7640EB" w14:textId="1CD6A76E" w:rsidR="00AB7A91" w:rsidRDefault="00AB7A91" w:rsidP="00AB7A91">
      <w:pPr>
        <w:pStyle w:val="Titolo3"/>
        <w:jc w:val="both"/>
      </w:pPr>
      <w:r>
        <w:t>1.2</w:t>
      </w:r>
      <w:r>
        <w:tab/>
        <w:t>Codice CCI</w:t>
      </w:r>
    </w:p>
    <w:p w14:paraId="6BCD7736" w14:textId="4DB4770E" w:rsidR="00AB7A91" w:rsidRDefault="00AB7A91" w:rsidP="00AB7A91">
      <w:r>
        <w:tab/>
      </w:r>
      <w:r w:rsidR="00985900">
        <w:t>2021IT16RFPR016</w:t>
      </w:r>
    </w:p>
    <w:p w14:paraId="48B80CD7" w14:textId="337162E2" w:rsidR="00AB7A91" w:rsidRDefault="00AB7A91" w:rsidP="00AB7A91">
      <w:pPr>
        <w:pStyle w:val="Titolo3"/>
        <w:jc w:val="both"/>
      </w:pPr>
      <w:r>
        <w:t>1.3</w:t>
      </w:r>
      <w:r>
        <w:tab/>
        <w:t>Pianificazione attuativa o altro atto di individuazione dell’OI</w:t>
      </w:r>
    </w:p>
    <w:p w14:paraId="57D168C6" w14:textId="77777777" w:rsidR="00AB7A91" w:rsidRPr="00804110" w:rsidRDefault="00AB7A91" w:rsidP="00AB7A91">
      <w:pPr>
        <w:ind w:left="709" w:hanging="1"/>
        <w:jc w:val="both"/>
        <w:rPr>
          <w:i/>
          <w:sz w:val="22"/>
          <w:szCs w:val="22"/>
        </w:rPr>
      </w:pPr>
      <w:r w:rsidRPr="00804110">
        <w:rPr>
          <w:i/>
          <w:sz w:val="22"/>
          <w:szCs w:val="22"/>
        </w:rPr>
        <w:t>Indicare gli estremi dell’approvazione della pianificazione attuativa e le relative azioni di competenza dell’OI, ovvero gli estremi della DGR di individuazione dell’OI</w:t>
      </w:r>
    </w:p>
    <w:p w14:paraId="732AA306" w14:textId="1FEB4D5F" w:rsidR="00AB7A91" w:rsidRDefault="00AB7A91" w:rsidP="00AB7A91">
      <w:pPr>
        <w:pStyle w:val="Titolo3"/>
        <w:jc w:val="both"/>
      </w:pPr>
      <w:r>
        <w:t xml:space="preserve">1.4 </w:t>
      </w:r>
      <w:r>
        <w:tab/>
        <w:t>Anagrafica</w:t>
      </w:r>
    </w:p>
    <w:p w14:paraId="5A3E00F0" w14:textId="5CD3DBD3" w:rsidR="00AB7A91" w:rsidRPr="00804110" w:rsidRDefault="00AB7A91" w:rsidP="00AB7A91">
      <w:pPr>
        <w:pStyle w:val="Paragrafoelenco"/>
        <w:numPr>
          <w:ilvl w:val="0"/>
          <w:numId w:val="7"/>
        </w:numPr>
        <w:jc w:val="both"/>
        <w:rPr>
          <w:i/>
          <w:sz w:val="22"/>
          <w:szCs w:val="22"/>
        </w:rPr>
      </w:pPr>
      <w:r w:rsidRPr="00804110">
        <w:rPr>
          <w:i/>
          <w:sz w:val="22"/>
          <w:szCs w:val="22"/>
        </w:rPr>
        <w:t xml:space="preserve">Denominazione OI; </w:t>
      </w:r>
    </w:p>
    <w:p w14:paraId="46A50F5C" w14:textId="77777777" w:rsidR="00AB7A91" w:rsidRPr="00804110" w:rsidRDefault="00AB7A91" w:rsidP="00AB7A91">
      <w:pPr>
        <w:pStyle w:val="Paragrafoelenco"/>
        <w:numPr>
          <w:ilvl w:val="0"/>
          <w:numId w:val="7"/>
        </w:numPr>
        <w:jc w:val="both"/>
        <w:rPr>
          <w:i/>
          <w:sz w:val="22"/>
          <w:szCs w:val="22"/>
        </w:rPr>
      </w:pPr>
      <w:r w:rsidRPr="00804110">
        <w:rPr>
          <w:i/>
          <w:sz w:val="22"/>
          <w:szCs w:val="22"/>
        </w:rPr>
        <w:t xml:space="preserve">Indirizzo; </w:t>
      </w:r>
    </w:p>
    <w:p w14:paraId="7AFCE7D5" w14:textId="454B10DE" w:rsidR="00AB7A91" w:rsidRPr="00804110" w:rsidRDefault="00AB7A91" w:rsidP="00AB7A91">
      <w:pPr>
        <w:pStyle w:val="Paragrafoelenco"/>
        <w:numPr>
          <w:ilvl w:val="0"/>
          <w:numId w:val="7"/>
        </w:numPr>
        <w:jc w:val="both"/>
        <w:rPr>
          <w:i/>
          <w:sz w:val="22"/>
          <w:szCs w:val="22"/>
        </w:rPr>
      </w:pPr>
      <w:r w:rsidRPr="00804110">
        <w:rPr>
          <w:i/>
          <w:sz w:val="22"/>
          <w:szCs w:val="22"/>
        </w:rPr>
        <w:t>Punto di contatto (nome e cognome; mail)</w:t>
      </w:r>
    </w:p>
    <w:p w14:paraId="1328290A" w14:textId="4897F466" w:rsidR="00CA3A91" w:rsidRDefault="00CA3A91" w:rsidP="00CA3A91">
      <w:pPr>
        <w:pStyle w:val="Titolo3"/>
        <w:jc w:val="both"/>
      </w:pPr>
      <w:bookmarkStart w:id="4" w:name="_Toc437964782"/>
      <w:r>
        <w:t>1.5</w:t>
      </w:r>
      <w:r w:rsidRPr="00CA3A91">
        <w:tab/>
      </w:r>
      <w:r>
        <w:t>Descrizione della situazione</w:t>
      </w:r>
    </w:p>
    <w:bookmarkEnd w:id="4"/>
    <w:p w14:paraId="51BE45AC" w14:textId="3103701C" w:rsidR="00CA3A91" w:rsidRPr="00CA3A91" w:rsidRDefault="00CA3A91" w:rsidP="00CA3A91">
      <w:pPr>
        <w:ind w:left="709" w:hanging="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Indicare la data alla quale sono riferite le</w:t>
      </w:r>
      <w:r w:rsidRPr="00CA3A91">
        <w:rPr>
          <w:i/>
          <w:sz w:val="22"/>
          <w:szCs w:val="22"/>
        </w:rPr>
        <w:t xml:space="preserve"> informazioni fornite </w:t>
      </w:r>
    </w:p>
    <w:p w14:paraId="0FBBC1B7" w14:textId="5AA9DF16" w:rsidR="0079130C" w:rsidRDefault="00CA3A91" w:rsidP="0079130C">
      <w:pPr>
        <w:pStyle w:val="Titolo3"/>
        <w:jc w:val="both"/>
      </w:pPr>
      <w:r>
        <w:t>1.6</w:t>
      </w:r>
      <w:r w:rsidR="00AB7A91">
        <w:tab/>
      </w:r>
      <w:r w:rsidR="0079130C">
        <w:t>Status giuridico</w:t>
      </w:r>
      <w:bookmarkEnd w:id="3"/>
      <w:r>
        <w:t xml:space="preserve"> dell’OI</w:t>
      </w:r>
    </w:p>
    <w:p w14:paraId="61D185F2" w14:textId="7BA6E32A" w:rsidR="000633AC" w:rsidRPr="00804110" w:rsidRDefault="0079130C" w:rsidP="0079130C">
      <w:pPr>
        <w:ind w:firstLine="708"/>
        <w:jc w:val="both"/>
        <w:rPr>
          <w:i/>
          <w:sz w:val="22"/>
          <w:szCs w:val="22"/>
        </w:rPr>
      </w:pPr>
      <w:r w:rsidRPr="00804110">
        <w:rPr>
          <w:i/>
          <w:sz w:val="22"/>
          <w:szCs w:val="22"/>
        </w:rPr>
        <w:t xml:space="preserve">Indicare le fonti </w:t>
      </w:r>
      <w:r w:rsidR="00CE1081" w:rsidRPr="00804110">
        <w:rPr>
          <w:i/>
          <w:sz w:val="22"/>
          <w:szCs w:val="22"/>
        </w:rPr>
        <w:t>del diritto e lo statuto dell’Organismo Intermedio (OI)</w:t>
      </w:r>
      <w:r w:rsidRPr="00804110">
        <w:rPr>
          <w:i/>
          <w:sz w:val="22"/>
          <w:szCs w:val="22"/>
        </w:rPr>
        <w:t xml:space="preserve"> </w:t>
      </w:r>
    </w:p>
    <w:p w14:paraId="5CDE234C" w14:textId="776E0BE6" w:rsidR="00CE1081" w:rsidRPr="00804110" w:rsidRDefault="000633AC" w:rsidP="00CE1081">
      <w:pPr>
        <w:ind w:firstLine="708"/>
        <w:jc w:val="both"/>
        <w:rPr>
          <w:i/>
          <w:sz w:val="22"/>
          <w:szCs w:val="22"/>
        </w:rPr>
      </w:pPr>
      <w:r w:rsidRPr="00804110">
        <w:rPr>
          <w:i/>
          <w:sz w:val="22"/>
          <w:szCs w:val="22"/>
        </w:rPr>
        <w:t xml:space="preserve">In caso di soggetto in </w:t>
      </w:r>
      <w:proofErr w:type="spellStart"/>
      <w:r w:rsidRPr="00804110">
        <w:rPr>
          <w:i/>
          <w:sz w:val="22"/>
          <w:szCs w:val="22"/>
        </w:rPr>
        <w:t>house</w:t>
      </w:r>
      <w:proofErr w:type="spellEnd"/>
      <w:r w:rsidRPr="00804110">
        <w:rPr>
          <w:i/>
          <w:sz w:val="22"/>
          <w:szCs w:val="22"/>
        </w:rPr>
        <w:t xml:space="preserve"> alla Regione Siciliana indicare le fonti normative</w:t>
      </w:r>
    </w:p>
    <w:p w14:paraId="14C54F48" w14:textId="77777777" w:rsidR="00CE1081" w:rsidRPr="00CE1081" w:rsidRDefault="00CE1081" w:rsidP="00CE1081">
      <w:bookmarkStart w:id="5" w:name="_Toc436729939"/>
    </w:p>
    <w:p w14:paraId="0B81C2A8" w14:textId="77777777" w:rsidR="0079130C" w:rsidRDefault="0079130C" w:rsidP="0079130C">
      <w:pPr>
        <w:pStyle w:val="Titolo2"/>
        <w:jc w:val="both"/>
      </w:pPr>
      <w:r>
        <w:t xml:space="preserve">2. </w:t>
      </w:r>
      <w:r>
        <w:tab/>
        <w:t>ASSETTO ORGANIZZATIVO DELL’OI</w:t>
      </w:r>
      <w:bookmarkEnd w:id="5"/>
      <w:r>
        <w:t xml:space="preserve"> </w:t>
      </w:r>
    </w:p>
    <w:p w14:paraId="0C156CCB" w14:textId="77777777" w:rsidR="0079130C" w:rsidRPr="00A2398E" w:rsidRDefault="0079130C" w:rsidP="0079130C">
      <w:pPr>
        <w:pStyle w:val="Titolo3"/>
        <w:jc w:val="both"/>
      </w:pPr>
      <w:bookmarkStart w:id="6" w:name="_Toc436729940"/>
      <w:r>
        <w:t>2.1</w:t>
      </w:r>
      <w:r>
        <w:tab/>
        <w:t>Organigramma</w:t>
      </w:r>
      <w:bookmarkEnd w:id="6"/>
    </w:p>
    <w:p w14:paraId="2CFB5F58" w14:textId="36F4AB01" w:rsidR="0079130C" w:rsidRPr="00CE1081" w:rsidRDefault="0079130C" w:rsidP="0079130C">
      <w:pPr>
        <w:ind w:left="709" w:hanging="1"/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Riportare e commentare un organigramma che descrive la ripartizione dei compiti all’interno</w:t>
      </w:r>
      <w:r w:rsidRPr="00CE1081">
        <w:rPr>
          <w:i/>
          <w:color w:val="000000" w:themeColor="text1"/>
        </w:rPr>
        <w:t xml:space="preserve"> </w:t>
      </w:r>
      <w:r w:rsidR="00CE1081">
        <w:rPr>
          <w:i/>
          <w:color w:val="000000" w:themeColor="text1"/>
          <w:sz w:val="22"/>
          <w:szCs w:val="22"/>
        </w:rPr>
        <w:t>dell’OI</w:t>
      </w:r>
    </w:p>
    <w:p w14:paraId="42858444" w14:textId="77777777" w:rsidR="0079130C" w:rsidRPr="00A2398E" w:rsidRDefault="0079130C" w:rsidP="0079130C">
      <w:pPr>
        <w:pStyle w:val="Titolo3"/>
        <w:jc w:val="both"/>
      </w:pPr>
      <w:bookmarkStart w:id="7" w:name="_Toc436729941"/>
      <w:r>
        <w:t>2.2</w:t>
      </w:r>
      <w:r>
        <w:tab/>
      </w:r>
      <w:proofErr w:type="spellStart"/>
      <w:r>
        <w:t>Funzionigramma</w:t>
      </w:r>
      <w:bookmarkEnd w:id="7"/>
      <w:proofErr w:type="spellEnd"/>
    </w:p>
    <w:p w14:paraId="1730019E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riportare e commentare il </w:t>
      </w:r>
      <w:proofErr w:type="spellStart"/>
      <w:r w:rsidRPr="00CE1081">
        <w:rPr>
          <w:i/>
          <w:color w:val="000000" w:themeColor="text1"/>
          <w:sz w:val="22"/>
          <w:szCs w:val="22"/>
        </w:rPr>
        <w:t>funzionigramma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con l’indicazione delle risorse assegnate a ciascuna posizione organizzativa con una chiara separazione delle funzioni dettagliando chiaramente obiettivi, finalità, compiti e responsabilità, di ciascun membro del personale</w:t>
      </w:r>
    </w:p>
    <w:p w14:paraId="27BAC6DE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competenze tecniche e le capacità amministrative per il corretto espletamento di ciascuna funzione</w:t>
      </w:r>
    </w:p>
    <w:p w14:paraId="436BFC87" w14:textId="72296E38" w:rsidR="0079130C" w:rsidRDefault="0079130C" w:rsidP="0079130C">
      <w:pPr>
        <w:pStyle w:val="Titolo3"/>
        <w:jc w:val="both"/>
      </w:pPr>
      <w:bookmarkStart w:id="8" w:name="_Toc436729942"/>
      <w:r>
        <w:t>2.3</w:t>
      </w:r>
      <w:r>
        <w:tab/>
        <w:t>Personale dedicato al P</w:t>
      </w:r>
      <w:r w:rsidR="00985900">
        <w:t>R</w:t>
      </w:r>
      <w:bookmarkEnd w:id="8"/>
    </w:p>
    <w:p w14:paraId="20C3A4A1" w14:textId="77777777" w:rsidR="0079130C" w:rsidRPr="00CE1081" w:rsidRDefault="0079130C" w:rsidP="0079130C">
      <w:pPr>
        <w:ind w:firstLine="708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compilare la tabella a seguire</w:t>
      </w:r>
    </w:p>
    <w:tbl>
      <w:tblPr>
        <w:tblStyle w:val="Grigliatabella"/>
        <w:tblW w:w="4634" w:type="pct"/>
        <w:tblInd w:w="704" w:type="dxa"/>
        <w:tblLook w:val="0420" w:firstRow="1" w:lastRow="0" w:firstColumn="0" w:lastColumn="0" w:noHBand="0" w:noVBand="1"/>
      </w:tblPr>
      <w:tblGrid>
        <w:gridCol w:w="1693"/>
        <w:gridCol w:w="1422"/>
        <w:gridCol w:w="1126"/>
        <w:gridCol w:w="1303"/>
        <w:gridCol w:w="549"/>
        <w:gridCol w:w="1550"/>
        <w:gridCol w:w="1484"/>
      </w:tblGrid>
      <w:tr w:rsidR="0079130C" w:rsidRPr="00043831" w14:paraId="34CA3330" w14:textId="77777777" w:rsidTr="001A307C">
        <w:tc>
          <w:tcPr>
            <w:tcW w:w="927" w:type="pct"/>
            <w:shd w:val="clear" w:color="auto" w:fill="BDD6EE" w:themeFill="accent1" w:themeFillTint="66"/>
          </w:tcPr>
          <w:p w14:paraId="0C8F8950" w14:textId="77777777" w:rsidR="0079130C" w:rsidRPr="00043831" w:rsidRDefault="0079130C" w:rsidP="001A307C">
            <w:pPr>
              <w:spacing w:before="60" w:after="60"/>
              <w:jc w:val="both"/>
              <w:rPr>
                <w:b/>
                <w:color w:val="002060"/>
                <w:sz w:val="16"/>
                <w:szCs w:val="16"/>
              </w:rPr>
            </w:pPr>
            <w:r w:rsidRPr="00043831">
              <w:rPr>
                <w:b/>
                <w:color w:val="002060"/>
                <w:sz w:val="16"/>
                <w:szCs w:val="16"/>
              </w:rPr>
              <w:t>Nome e cognome</w:t>
            </w:r>
          </w:p>
        </w:tc>
        <w:tc>
          <w:tcPr>
            <w:tcW w:w="779" w:type="pct"/>
            <w:shd w:val="clear" w:color="auto" w:fill="BDD6EE" w:themeFill="accent1" w:themeFillTint="66"/>
          </w:tcPr>
          <w:p w14:paraId="799366D9" w14:textId="77777777" w:rsidR="0079130C" w:rsidRPr="00043831" w:rsidRDefault="0079130C" w:rsidP="001A307C">
            <w:pPr>
              <w:spacing w:before="60" w:after="60"/>
              <w:jc w:val="both"/>
              <w:rPr>
                <w:b/>
                <w:color w:val="002060"/>
                <w:sz w:val="16"/>
                <w:szCs w:val="16"/>
              </w:rPr>
            </w:pPr>
            <w:r w:rsidRPr="00043831">
              <w:rPr>
                <w:b/>
                <w:color w:val="002060"/>
                <w:sz w:val="16"/>
                <w:szCs w:val="16"/>
              </w:rPr>
              <w:t>Direzione</w:t>
            </w:r>
          </w:p>
        </w:tc>
        <w:tc>
          <w:tcPr>
            <w:tcW w:w="617" w:type="pct"/>
            <w:shd w:val="clear" w:color="auto" w:fill="BDD6EE" w:themeFill="accent1" w:themeFillTint="66"/>
          </w:tcPr>
          <w:p w14:paraId="26DD9A28" w14:textId="77777777" w:rsidR="0079130C" w:rsidRPr="00043831" w:rsidRDefault="0079130C" w:rsidP="001A307C">
            <w:pPr>
              <w:spacing w:before="60" w:after="60"/>
              <w:jc w:val="both"/>
              <w:rPr>
                <w:b/>
                <w:color w:val="002060"/>
                <w:sz w:val="16"/>
                <w:szCs w:val="16"/>
              </w:rPr>
            </w:pPr>
            <w:r w:rsidRPr="00043831">
              <w:rPr>
                <w:b/>
                <w:color w:val="002060"/>
                <w:sz w:val="16"/>
                <w:szCs w:val="16"/>
              </w:rPr>
              <w:t>Funzione</w:t>
            </w:r>
          </w:p>
        </w:tc>
        <w:tc>
          <w:tcPr>
            <w:tcW w:w="714" w:type="pct"/>
            <w:shd w:val="clear" w:color="auto" w:fill="BDD6EE" w:themeFill="accent1" w:themeFillTint="66"/>
          </w:tcPr>
          <w:p w14:paraId="1E6FA5CF" w14:textId="36FC84F9" w:rsidR="0079130C" w:rsidRPr="00043831" w:rsidRDefault="0079130C" w:rsidP="001A307C">
            <w:pPr>
              <w:spacing w:before="60" w:after="60"/>
              <w:jc w:val="both"/>
              <w:rPr>
                <w:b/>
                <w:color w:val="002060"/>
                <w:sz w:val="16"/>
                <w:szCs w:val="16"/>
              </w:rPr>
            </w:pPr>
            <w:r w:rsidRPr="00043831">
              <w:rPr>
                <w:b/>
                <w:color w:val="002060"/>
                <w:sz w:val="16"/>
                <w:szCs w:val="16"/>
              </w:rPr>
              <w:t>Ruolo nel P</w:t>
            </w:r>
            <w:r w:rsidR="00985900">
              <w:rPr>
                <w:b/>
                <w:color w:val="002060"/>
                <w:sz w:val="16"/>
                <w:szCs w:val="16"/>
              </w:rPr>
              <w:t>R</w:t>
            </w:r>
          </w:p>
        </w:tc>
        <w:tc>
          <w:tcPr>
            <w:tcW w:w="301" w:type="pct"/>
            <w:shd w:val="clear" w:color="auto" w:fill="BDD6EE" w:themeFill="accent1" w:themeFillTint="66"/>
          </w:tcPr>
          <w:p w14:paraId="3C38AF4C" w14:textId="77777777" w:rsidR="0079130C" w:rsidRPr="00043831" w:rsidRDefault="0079130C" w:rsidP="001A307C">
            <w:pPr>
              <w:spacing w:before="60" w:after="60"/>
              <w:jc w:val="both"/>
              <w:rPr>
                <w:b/>
                <w:color w:val="002060"/>
                <w:sz w:val="16"/>
                <w:szCs w:val="16"/>
              </w:rPr>
            </w:pPr>
            <w:r w:rsidRPr="00043831">
              <w:rPr>
                <w:b/>
                <w:color w:val="002060"/>
                <w:sz w:val="16"/>
                <w:szCs w:val="16"/>
              </w:rPr>
              <w:t>Età</w:t>
            </w:r>
          </w:p>
        </w:tc>
        <w:tc>
          <w:tcPr>
            <w:tcW w:w="849" w:type="pct"/>
            <w:shd w:val="clear" w:color="auto" w:fill="BDD6EE" w:themeFill="accent1" w:themeFillTint="66"/>
          </w:tcPr>
          <w:p w14:paraId="65A9B9D1" w14:textId="77777777" w:rsidR="0079130C" w:rsidRPr="00043831" w:rsidRDefault="0079130C" w:rsidP="001A307C">
            <w:pPr>
              <w:spacing w:before="60" w:after="60"/>
              <w:jc w:val="both"/>
              <w:rPr>
                <w:b/>
                <w:color w:val="002060"/>
                <w:sz w:val="16"/>
                <w:szCs w:val="16"/>
              </w:rPr>
            </w:pPr>
            <w:r w:rsidRPr="00043831">
              <w:rPr>
                <w:b/>
                <w:color w:val="002060"/>
                <w:sz w:val="16"/>
                <w:szCs w:val="16"/>
              </w:rPr>
              <w:t xml:space="preserve">Anni di esperienza </w:t>
            </w:r>
          </w:p>
        </w:tc>
        <w:tc>
          <w:tcPr>
            <w:tcW w:w="813" w:type="pct"/>
            <w:shd w:val="clear" w:color="auto" w:fill="BDD6EE" w:themeFill="accent1" w:themeFillTint="66"/>
          </w:tcPr>
          <w:p w14:paraId="3B4A8482" w14:textId="77777777" w:rsidR="0079130C" w:rsidRPr="00043831" w:rsidRDefault="0079130C" w:rsidP="001A307C">
            <w:pPr>
              <w:spacing w:before="60" w:after="60"/>
              <w:jc w:val="both"/>
              <w:rPr>
                <w:b/>
                <w:color w:val="002060"/>
                <w:sz w:val="16"/>
                <w:szCs w:val="16"/>
              </w:rPr>
            </w:pPr>
            <w:r w:rsidRPr="00043831">
              <w:rPr>
                <w:b/>
                <w:color w:val="002060"/>
                <w:sz w:val="16"/>
                <w:szCs w:val="16"/>
              </w:rPr>
              <w:t>Azioni seguite</w:t>
            </w:r>
          </w:p>
        </w:tc>
      </w:tr>
      <w:tr w:rsidR="0079130C" w:rsidRPr="003C5D7F" w14:paraId="7ADBF325" w14:textId="77777777" w:rsidTr="001A307C">
        <w:tc>
          <w:tcPr>
            <w:tcW w:w="927" w:type="pct"/>
          </w:tcPr>
          <w:p w14:paraId="4C1A889C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779" w:type="pct"/>
          </w:tcPr>
          <w:p w14:paraId="30F7B026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617" w:type="pct"/>
          </w:tcPr>
          <w:p w14:paraId="292D75BA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714" w:type="pct"/>
          </w:tcPr>
          <w:p w14:paraId="500A24D4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301" w:type="pct"/>
          </w:tcPr>
          <w:p w14:paraId="3033C510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849" w:type="pct"/>
          </w:tcPr>
          <w:p w14:paraId="4D1BCDCE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813" w:type="pct"/>
          </w:tcPr>
          <w:p w14:paraId="3EB32D41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</w:tr>
      <w:tr w:rsidR="0079130C" w:rsidRPr="003C5D7F" w14:paraId="4CCCAE68" w14:textId="77777777" w:rsidTr="001A307C">
        <w:tc>
          <w:tcPr>
            <w:tcW w:w="927" w:type="pct"/>
          </w:tcPr>
          <w:p w14:paraId="630BDF28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779" w:type="pct"/>
          </w:tcPr>
          <w:p w14:paraId="597CE02A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617" w:type="pct"/>
          </w:tcPr>
          <w:p w14:paraId="26B094E9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714" w:type="pct"/>
          </w:tcPr>
          <w:p w14:paraId="5F4D6677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301" w:type="pct"/>
          </w:tcPr>
          <w:p w14:paraId="3760C96F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849" w:type="pct"/>
          </w:tcPr>
          <w:p w14:paraId="171C77E0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813" w:type="pct"/>
          </w:tcPr>
          <w:p w14:paraId="3A2F89F7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</w:tr>
      <w:tr w:rsidR="0079130C" w:rsidRPr="003C5D7F" w14:paraId="2D4494E9" w14:textId="77777777" w:rsidTr="001A307C">
        <w:tc>
          <w:tcPr>
            <w:tcW w:w="927" w:type="pct"/>
          </w:tcPr>
          <w:p w14:paraId="634BB847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779" w:type="pct"/>
          </w:tcPr>
          <w:p w14:paraId="6AE9563B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617" w:type="pct"/>
          </w:tcPr>
          <w:p w14:paraId="149DF87E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714" w:type="pct"/>
          </w:tcPr>
          <w:p w14:paraId="0B52B259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301" w:type="pct"/>
          </w:tcPr>
          <w:p w14:paraId="7E90B920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849" w:type="pct"/>
          </w:tcPr>
          <w:p w14:paraId="111AF4B1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813" w:type="pct"/>
          </w:tcPr>
          <w:p w14:paraId="5229EBB6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</w:tr>
      <w:tr w:rsidR="0079130C" w:rsidRPr="003C5D7F" w14:paraId="61C31702" w14:textId="77777777" w:rsidTr="001A307C">
        <w:tc>
          <w:tcPr>
            <w:tcW w:w="927" w:type="pct"/>
          </w:tcPr>
          <w:p w14:paraId="3B1188C9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779" w:type="pct"/>
          </w:tcPr>
          <w:p w14:paraId="2AB94E34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617" w:type="pct"/>
          </w:tcPr>
          <w:p w14:paraId="21F9E9CC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714" w:type="pct"/>
          </w:tcPr>
          <w:p w14:paraId="0B8B06D6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301" w:type="pct"/>
          </w:tcPr>
          <w:p w14:paraId="6F91FD68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849" w:type="pct"/>
          </w:tcPr>
          <w:p w14:paraId="4EB36B6D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  <w:tc>
          <w:tcPr>
            <w:tcW w:w="813" w:type="pct"/>
          </w:tcPr>
          <w:p w14:paraId="542D1D1F" w14:textId="77777777" w:rsidR="0079130C" w:rsidRPr="003C5D7F" w:rsidRDefault="0079130C" w:rsidP="001A307C">
            <w:pPr>
              <w:spacing w:before="60" w:after="60"/>
              <w:jc w:val="both"/>
              <w:rPr>
                <w:color w:val="000080"/>
                <w:sz w:val="16"/>
                <w:szCs w:val="16"/>
              </w:rPr>
            </w:pPr>
          </w:p>
        </w:tc>
      </w:tr>
    </w:tbl>
    <w:p w14:paraId="1456A562" w14:textId="77777777" w:rsidR="0079130C" w:rsidRPr="003C5D7F" w:rsidRDefault="0079130C" w:rsidP="0079130C"/>
    <w:p w14:paraId="5B136B87" w14:textId="77777777" w:rsidR="0079130C" w:rsidRPr="00A2398E" w:rsidRDefault="0079130C" w:rsidP="0079130C">
      <w:pPr>
        <w:pStyle w:val="Titolo3"/>
        <w:jc w:val="both"/>
      </w:pPr>
      <w:bookmarkStart w:id="9" w:name="_Toc436729943"/>
      <w:r>
        <w:t>2.4</w:t>
      </w:r>
      <w:r>
        <w:tab/>
        <w:t>Procedure di selezione del personale e gestione del personale</w:t>
      </w:r>
      <w:bookmarkEnd w:id="9"/>
    </w:p>
    <w:p w14:paraId="13110C76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Indicare le procedure di </w:t>
      </w:r>
      <w:r w:rsidRPr="00CE1081">
        <w:rPr>
          <w:b/>
          <w:i/>
          <w:color w:val="000000" w:themeColor="text1"/>
          <w:sz w:val="22"/>
          <w:szCs w:val="22"/>
        </w:rPr>
        <w:t>selezione</w:t>
      </w:r>
      <w:r w:rsidRPr="00CE1081">
        <w:rPr>
          <w:i/>
          <w:color w:val="000000" w:themeColor="text1"/>
          <w:sz w:val="22"/>
          <w:szCs w:val="22"/>
        </w:rPr>
        <w:t xml:space="preserve"> del personale </w:t>
      </w:r>
    </w:p>
    <w:p w14:paraId="1017CC5C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se previsto il ricorso a </w:t>
      </w:r>
      <w:r w:rsidRPr="00CE1081">
        <w:rPr>
          <w:color w:val="000000" w:themeColor="text1"/>
          <w:sz w:val="22"/>
          <w:szCs w:val="22"/>
        </w:rPr>
        <w:t>personale esterno</w:t>
      </w:r>
      <w:r w:rsidRPr="00CE1081">
        <w:rPr>
          <w:i/>
          <w:color w:val="000000" w:themeColor="text1"/>
          <w:sz w:val="22"/>
          <w:szCs w:val="22"/>
        </w:rPr>
        <w:t>:</w:t>
      </w:r>
    </w:p>
    <w:p w14:paraId="7C078F74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indicare la procedura preliminare orientata alla verifica dell’eventuale presenza di personale qualificato interno </w:t>
      </w:r>
    </w:p>
    <w:p w14:paraId="49175185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lastRenderedPageBreak/>
        <w:t>indicare le procedure che garantiscono competenze professionali adeguate alla natura dell’incarico esterno</w:t>
      </w:r>
    </w:p>
    <w:p w14:paraId="1E9F493D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indicare le procedure di </w:t>
      </w:r>
      <w:r w:rsidRPr="00CE1081">
        <w:rPr>
          <w:b/>
          <w:i/>
          <w:color w:val="000000" w:themeColor="text1"/>
          <w:sz w:val="22"/>
          <w:szCs w:val="22"/>
        </w:rPr>
        <w:t>valutazione</w:t>
      </w:r>
      <w:r w:rsidRPr="00CE1081">
        <w:rPr>
          <w:i/>
          <w:color w:val="000000" w:themeColor="text1"/>
          <w:sz w:val="22"/>
          <w:szCs w:val="22"/>
        </w:rPr>
        <w:t xml:space="preserve"> del personale (tra cui auto-valutazione, se del caso)</w:t>
      </w:r>
    </w:p>
    <w:p w14:paraId="5FC96E8B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per la gestione dei cambi di personale (ad esempio per il passaggio di consegne) e la gestione dei posti vacanti</w:t>
      </w:r>
    </w:p>
    <w:p w14:paraId="4DA2ABFA" w14:textId="7EE10E61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indicare la procedura per la </w:t>
      </w:r>
      <w:r w:rsidRPr="00CE1081">
        <w:rPr>
          <w:b/>
          <w:i/>
          <w:color w:val="000000" w:themeColor="text1"/>
          <w:sz w:val="22"/>
          <w:szCs w:val="22"/>
        </w:rPr>
        <w:t>sostituzione</w:t>
      </w:r>
      <w:r w:rsidR="00CF223A" w:rsidRPr="00CE1081">
        <w:rPr>
          <w:i/>
          <w:color w:val="000000" w:themeColor="text1"/>
          <w:sz w:val="22"/>
          <w:szCs w:val="22"/>
        </w:rPr>
        <w:t xml:space="preserve"> in caso di assenza </w:t>
      </w:r>
      <w:r w:rsidRPr="00CE1081">
        <w:rPr>
          <w:i/>
          <w:color w:val="000000" w:themeColor="text1"/>
          <w:sz w:val="22"/>
          <w:szCs w:val="22"/>
        </w:rPr>
        <w:t>prolungata del personale che garantisce un’adeguata separazione di funzioni</w:t>
      </w:r>
    </w:p>
    <w:p w14:paraId="74AC7BB8" w14:textId="77777777" w:rsidR="0079130C" w:rsidRPr="00CE1081" w:rsidRDefault="0079130C" w:rsidP="0079130C">
      <w:pPr>
        <w:pStyle w:val="Titolo3"/>
        <w:jc w:val="both"/>
        <w:rPr>
          <w:color w:val="000000" w:themeColor="text1"/>
        </w:rPr>
      </w:pPr>
      <w:bookmarkStart w:id="10" w:name="_Toc436729944"/>
      <w:r w:rsidRPr="00CE1081">
        <w:rPr>
          <w:color w:val="000000" w:themeColor="text1"/>
        </w:rPr>
        <w:t>2.5</w:t>
      </w:r>
      <w:r w:rsidRPr="00CE1081">
        <w:rPr>
          <w:color w:val="000000" w:themeColor="text1"/>
        </w:rPr>
        <w:tab/>
        <w:t>Procedure di formazione e aggiornamento del personale</w:t>
      </w:r>
      <w:bookmarkEnd w:id="10"/>
    </w:p>
    <w:p w14:paraId="1813433F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che garantiscono lo sviluppo e l’attuazione di azioni per il rafforzamento delle competenze e l'aggiornamento delle risorse e coinvolgimento dell’OI nelle attività di aggiornamento delle competenze dell’</w:t>
      </w:r>
      <w:proofErr w:type="spellStart"/>
      <w:r w:rsidRPr="00CE1081">
        <w:rPr>
          <w:i/>
          <w:color w:val="000000" w:themeColor="text1"/>
          <w:sz w:val="22"/>
          <w:szCs w:val="22"/>
        </w:rPr>
        <w:t>AdG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</w:t>
      </w:r>
    </w:p>
    <w:p w14:paraId="3607960A" w14:textId="77777777" w:rsidR="0079130C" w:rsidRPr="00CE1081" w:rsidRDefault="0079130C" w:rsidP="0079130C">
      <w:pPr>
        <w:pStyle w:val="Titolo3"/>
        <w:jc w:val="both"/>
        <w:rPr>
          <w:color w:val="000000" w:themeColor="text1"/>
        </w:rPr>
      </w:pPr>
      <w:bookmarkStart w:id="11" w:name="_Toc436729945"/>
      <w:r w:rsidRPr="00CE1081">
        <w:rPr>
          <w:color w:val="000000" w:themeColor="text1"/>
        </w:rPr>
        <w:t>2.6</w:t>
      </w:r>
      <w:r w:rsidRPr="00CE1081">
        <w:rPr>
          <w:color w:val="000000" w:themeColor="text1"/>
        </w:rPr>
        <w:tab/>
        <w:t>Codice etico dell’OI</w:t>
      </w:r>
      <w:bookmarkEnd w:id="11"/>
    </w:p>
    <w:p w14:paraId="5C13C26A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per garantire che sia identificato il personale che occupa i “posti sensibili" (vale a dire qualsiasi posto il cui occupante potrebbe causare effetti negativi all'integrità e al funzionamento dell'istituzione in virtù della posizione ricoperta) e che controlli adeguati (compresi se del caso, la rotazione e la politica della separazione delle funzioni) vengano applicati a tali posti</w:t>
      </w:r>
    </w:p>
    <w:p w14:paraId="7D1652F7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per identificare ed evitare conflitti di interesse attraverso un'adeguata politica di separazione delle funzioni</w:t>
      </w:r>
    </w:p>
    <w:p w14:paraId="5C79D49A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illustrare come le regole in materia di etica ed integrità di comportamento (riferite ad esempio al conflitto di interessi, utilizzo di informazioni ufficiali e di risorse pubbliche, regali e benefits, ecc.) siano vincolanti per il personale OI</w:t>
      </w:r>
    </w:p>
    <w:p w14:paraId="48DDEFFC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per diffondere regole in materia di etica ed integrità di comportamento e per informare sistematicamente il personale dell'OI sulle modifiche di queste norme, nonché per informarne il nuovo personale</w:t>
      </w:r>
    </w:p>
    <w:p w14:paraId="054C80CD" w14:textId="77777777" w:rsidR="0079130C" w:rsidRPr="00043831" w:rsidRDefault="0079130C" w:rsidP="0079130C">
      <w:pPr>
        <w:pStyle w:val="Paragrafoelenco"/>
        <w:ind w:left="1068"/>
        <w:jc w:val="both"/>
        <w:rPr>
          <w:i/>
          <w:color w:val="002060"/>
        </w:rPr>
      </w:pPr>
    </w:p>
    <w:p w14:paraId="62F5DB50" w14:textId="77777777" w:rsidR="0079130C" w:rsidRPr="007A5D8C" w:rsidRDefault="0079130C" w:rsidP="0079130C">
      <w:pPr>
        <w:pStyle w:val="Titolo2"/>
        <w:jc w:val="both"/>
      </w:pPr>
      <w:bookmarkStart w:id="12" w:name="_Toc436729946"/>
      <w:r>
        <w:t>3.</w:t>
      </w:r>
      <w:r>
        <w:tab/>
      </w:r>
      <w:r w:rsidRPr="007A5D8C">
        <w:t>GESTIONE DEI RISCHI</w:t>
      </w:r>
      <w:bookmarkEnd w:id="12"/>
    </w:p>
    <w:p w14:paraId="0CEB77AA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di gestione dei rischi si basa sulle istruzioni dell'</w:t>
      </w:r>
      <w:proofErr w:type="spellStart"/>
      <w:r w:rsidRPr="00CE1081">
        <w:rPr>
          <w:i/>
          <w:color w:val="000000" w:themeColor="text1"/>
          <w:sz w:val="22"/>
          <w:szCs w:val="22"/>
        </w:rPr>
        <w:t>AdG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che include anche il rischio di frode da cui emerge:</w:t>
      </w:r>
    </w:p>
    <w:p w14:paraId="405A61F1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chi la esegue</w:t>
      </w:r>
    </w:p>
    <w:p w14:paraId="666C2254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a che livello è eseguita (livello organizzativo, specifica-attività) </w:t>
      </w:r>
    </w:p>
    <w:p w14:paraId="5D6DF12B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che tipo di rischi sono identificati (interno, esterno, ecc.)</w:t>
      </w:r>
    </w:p>
    <w:p w14:paraId="5DC9D3BD" w14:textId="77777777" w:rsidR="0079130C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quali sono i criteri di identificazione</w:t>
      </w:r>
    </w:p>
    <w:p w14:paraId="303A5BD6" w14:textId="40FE8CF1" w:rsidR="009100A2" w:rsidRPr="00CE1081" w:rsidRDefault="009100A2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le misure di prevenzione</w:t>
      </w:r>
    </w:p>
    <w:p w14:paraId="22CCE0B0" w14:textId="77777777" w:rsidR="0079130C" w:rsidRPr="00043831" w:rsidRDefault="0079130C" w:rsidP="0079130C">
      <w:pPr>
        <w:pStyle w:val="Paragrafoelenco"/>
        <w:ind w:left="1788"/>
        <w:jc w:val="both"/>
        <w:rPr>
          <w:i/>
          <w:color w:val="002060"/>
        </w:rPr>
      </w:pPr>
    </w:p>
    <w:p w14:paraId="28D4906A" w14:textId="77777777" w:rsidR="0079130C" w:rsidRPr="007A5D8C" w:rsidRDefault="0079130C" w:rsidP="0079130C">
      <w:pPr>
        <w:pStyle w:val="Titolo2"/>
        <w:jc w:val="both"/>
      </w:pPr>
      <w:bookmarkStart w:id="13" w:name="_Toc436729947"/>
      <w:r>
        <w:t xml:space="preserve">4.  </w:t>
      </w:r>
      <w:r>
        <w:tab/>
      </w:r>
      <w:r w:rsidRPr="007A5D8C">
        <w:t xml:space="preserve">GESTIONE E CONTROLLO </w:t>
      </w:r>
      <w:r>
        <w:t>DELLE AZIONI DELEGATE</w:t>
      </w:r>
      <w:bookmarkEnd w:id="13"/>
      <w:r>
        <w:t xml:space="preserve"> ALL’OI</w:t>
      </w:r>
    </w:p>
    <w:p w14:paraId="7DB4E921" w14:textId="77777777" w:rsidR="0079130C" w:rsidRPr="007A5D8C" w:rsidRDefault="0079130C" w:rsidP="0079130C">
      <w:pPr>
        <w:pStyle w:val="Titolo3"/>
        <w:jc w:val="both"/>
      </w:pPr>
      <w:bookmarkStart w:id="14" w:name="_Toc436729948"/>
      <w:r>
        <w:t>4.1</w:t>
      </w:r>
      <w:r>
        <w:tab/>
      </w:r>
      <w:r w:rsidRPr="007A5D8C">
        <w:t>Selezione delle operazioni</w:t>
      </w:r>
      <w:bookmarkEnd w:id="14"/>
    </w:p>
    <w:p w14:paraId="206080CA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richiamo ad uno specifico e adeguato </w:t>
      </w:r>
      <w:r w:rsidRPr="00CE1081">
        <w:rPr>
          <w:b/>
          <w:i/>
          <w:color w:val="000000" w:themeColor="text1"/>
          <w:sz w:val="22"/>
          <w:szCs w:val="22"/>
        </w:rPr>
        <w:t>Manuale per il personale dell’OI</w:t>
      </w:r>
      <w:r w:rsidRPr="00CE1081">
        <w:rPr>
          <w:i/>
          <w:color w:val="000000" w:themeColor="text1"/>
          <w:sz w:val="22"/>
          <w:szCs w:val="22"/>
        </w:rPr>
        <w:t xml:space="preserve"> che illustra le procedure e i moduli per la selezione e l'approvazione delle operazioni, coerenti con la normativa comunitaria e nazionale in materia con:</w:t>
      </w:r>
    </w:p>
    <w:p w14:paraId="31398B24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una data di riferimento e il numero di riferimento della versione</w:t>
      </w:r>
    </w:p>
    <w:p w14:paraId="079BC20B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adeguate procedure per controllare i cambiamenti, l’introduzione o l’eliminazione di tali procedure e la loro comunicazione al personale</w:t>
      </w:r>
    </w:p>
    <w:p w14:paraId="44C8E95F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per la valutazione, selezione e approvazione delle operazioni</w:t>
      </w:r>
    </w:p>
    <w:p w14:paraId="6AADC457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che assicurano per ciascuna tipologia di selezione (avviso pubblico, bando, affidamento diretto, procedura negoziale, ecc.) assicurano che sarà: </w:t>
      </w:r>
    </w:p>
    <w:p w14:paraId="27522DDA" w14:textId="77777777" w:rsidR="0079130C" w:rsidRPr="00CE1081" w:rsidRDefault="0079130C" w:rsidP="0079130C">
      <w:pPr>
        <w:pStyle w:val="Paragrafoelenco"/>
        <w:numPr>
          <w:ilvl w:val="2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pubblicata</w:t>
      </w:r>
    </w:p>
    <w:p w14:paraId="16B5BB6C" w14:textId="108607D2" w:rsidR="0079130C" w:rsidRPr="00CE1081" w:rsidRDefault="0079130C" w:rsidP="0079130C">
      <w:pPr>
        <w:pStyle w:val="Paragrafoelenco"/>
        <w:numPr>
          <w:ilvl w:val="2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conforme con le condizioni e gli obiettivi del P</w:t>
      </w:r>
      <w:r w:rsidR="003A7E57">
        <w:rPr>
          <w:i/>
          <w:color w:val="000000" w:themeColor="text1"/>
          <w:sz w:val="22"/>
          <w:szCs w:val="22"/>
        </w:rPr>
        <w:t>R</w:t>
      </w:r>
      <w:r w:rsidRPr="00CE1081">
        <w:rPr>
          <w:i/>
          <w:color w:val="000000" w:themeColor="text1"/>
          <w:sz w:val="22"/>
          <w:szCs w:val="22"/>
        </w:rPr>
        <w:t xml:space="preserve"> e conterranno una chiara descrizione della procedura di selezione utilizzata e dei diritti e degli obblighi dei Beneficiari</w:t>
      </w:r>
    </w:p>
    <w:p w14:paraId="54E3CCB0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adeguatamente pubblicizzata al fine di raggiungere tutti i potenziali Beneficiari</w:t>
      </w:r>
    </w:p>
    <w:p w14:paraId="42306D74" w14:textId="3309BA80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lastRenderedPageBreak/>
        <w:t xml:space="preserve">che prevedono, per ciascuna tipologia di selezione (avviso pubblico, bando, affidamento diretto, procedura negoziale, ecc.), i relativi </w:t>
      </w:r>
      <w:proofErr w:type="spellStart"/>
      <w:r w:rsidRPr="00CE1081">
        <w:rPr>
          <w:i/>
          <w:color w:val="000000" w:themeColor="text1"/>
          <w:sz w:val="22"/>
          <w:szCs w:val="22"/>
        </w:rPr>
        <w:t>step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procedurali di predisposizione, pubblicazione, raccolta e registrazione delle domande/progetti (registrazione della ricezione, rilascio della ricevuta dell'avvenuta ricezione, stato di approvazione della proposta/domanda)</w:t>
      </w:r>
      <w:r w:rsidR="003A7E57">
        <w:rPr>
          <w:i/>
          <w:color w:val="000000" w:themeColor="text1"/>
          <w:sz w:val="22"/>
          <w:szCs w:val="22"/>
        </w:rPr>
        <w:t xml:space="preserve"> nel sistema elettronico di scambio dati</w:t>
      </w:r>
    </w:p>
    <w:p w14:paraId="56E3DC19" w14:textId="2FB05B59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che prevedono, per ciascuna tipologia di selezione (avviso pubblico, bando, affidamento diretto, ecc.), i relativi </w:t>
      </w:r>
      <w:proofErr w:type="spellStart"/>
      <w:r w:rsidRPr="00CE1081">
        <w:rPr>
          <w:i/>
          <w:color w:val="000000" w:themeColor="text1"/>
          <w:sz w:val="22"/>
          <w:szCs w:val="22"/>
        </w:rPr>
        <w:t>step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procedurali della fase di istruttoria e approvazione delle operazioni in conformità </w:t>
      </w:r>
      <w:r w:rsidR="00DE2779">
        <w:rPr>
          <w:i/>
          <w:color w:val="000000" w:themeColor="text1"/>
          <w:sz w:val="22"/>
          <w:szCs w:val="22"/>
        </w:rPr>
        <w:t>con il documento “Metodologia e criteri di selezione delle operazioni”</w:t>
      </w:r>
      <w:r w:rsidRPr="00CE1081">
        <w:rPr>
          <w:i/>
          <w:color w:val="000000" w:themeColor="text1"/>
          <w:sz w:val="22"/>
          <w:szCs w:val="22"/>
        </w:rPr>
        <w:t xml:space="preserve"> adottat</w:t>
      </w:r>
      <w:r w:rsidR="00DE2779">
        <w:rPr>
          <w:i/>
          <w:color w:val="000000" w:themeColor="text1"/>
          <w:sz w:val="22"/>
          <w:szCs w:val="22"/>
        </w:rPr>
        <w:t>o</w:t>
      </w:r>
      <w:r w:rsidRPr="00CE1081">
        <w:rPr>
          <w:i/>
          <w:color w:val="000000" w:themeColor="text1"/>
          <w:sz w:val="22"/>
          <w:szCs w:val="22"/>
        </w:rPr>
        <w:t xml:space="preserve"> dal </w:t>
      </w:r>
      <w:proofErr w:type="spellStart"/>
      <w:r w:rsidRPr="00CE1081">
        <w:rPr>
          <w:i/>
          <w:color w:val="000000" w:themeColor="text1"/>
          <w:sz w:val="22"/>
          <w:szCs w:val="22"/>
        </w:rPr>
        <w:t>CdS</w:t>
      </w:r>
      <w:proofErr w:type="spellEnd"/>
    </w:p>
    <w:p w14:paraId="7E7F8691" w14:textId="374140EE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garantire che tutti i valutatori, impegnati nella valutazione di domande/progetti, abbiano la competenza e l'indipendenza necessarie. In particolare è necessario pr</w:t>
      </w:r>
      <w:r w:rsidR="00CE1081">
        <w:rPr>
          <w:i/>
          <w:color w:val="000000" w:themeColor="text1"/>
          <w:sz w:val="22"/>
          <w:szCs w:val="22"/>
        </w:rPr>
        <w:t xml:space="preserve">evedere la compilazione di una </w:t>
      </w:r>
      <w:r w:rsidRPr="00CE1081">
        <w:rPr>
          <w:i/>
          <w:color w:val="000000" w:themeColor="text1"/>
          <w:sz w:val="22"/>
          <w:szCs w:val="22"/>
        </w:rPr>
        <w:t>dichiarazione di assenza di conflitto d'interesse da parte di tutti i valutatori</w:t>
      </w:r>
    </w:p>
    <w:p w14:paraId="7D5A608F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indicare la procedura per garantire che le decisioni assunte in merito all'approvazione o rigetto delle domande/progetti saranno comunicate ai candidati. Le decisioni devono essere prese da una persona/organismo debitamente autorizzato, i risultati comunicati per iscritto e le ragioni dell'accettazione o del rifiuto della domanda chiaramente enunciate. La procedura di ricorso e le relative decisioni devono essere comunicate ai richiedenti. </w:t>
      </w:r>
    </w:p>
    <w:p w14:paraId="0F373FC5" w14:textId="77777777" w:rsidR="0079130C" w:rsidRDefault="0079130C" w:rsidP="0079130C">
      <w:pPr>
        <w:pStyle w:val="Titolo3"/>
        <w:jc w:val="both"/>
      </w:pPr>
      <w:bookmarkStart w:id="15" w:name="_Toc436729949"/>
      <w:r>
        <w:t>4.2</w:t>
      </w:r>
      <w:r>
        <w:tab/>
      </w:r>
      <w:r w:rsidRPr="00080C8B">
        <w:t>Verifiche di gestione</w:t>
      </w:r>
      <w:bookmarkEnd w:id="15"/>
    </w:p>
    <w:p w14:paraId="559618BF" w14:textId="77777777" w:rsidR="0079130C" w:rsidRPr="00080C8B" w:rsidRDefault="0079130C" w:rsidP="0079130C">
      <w:pPr>
        <w:pStyle w:val="Titolo4"/>
      </w:pPr>
      <w:r>
        <w:t>4.2.1</w:t>
      </w:r>
      <w:r>
        <w:tab/>
        <w:t>Organizzazione delle verifiche di gestione</w:t>
      </w:r>
    </w:p>
    <w:p w14:paraId="7A40295B" w14:textId="77777777" w:rsidR="0079130C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illustrare l’articolazione della struttura interna tale da garantire le condizioni di separazione tra le funzioni di gestione e le funzioni di controllo</w:t>
      </w:r>
    </w:p>
    <w:p w14:paraId="430D8CBE" w14:textId="1BEF0C91" w:rsidR="00AC28DC" w:rsidRPr="00CE1081" w:rsidRDefault="00AC28D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illustrare, nel caso in cui l’OI sia anche un Beneficiario, l’organizzazione della struttura interna tale da assicurare un’adeguata separazione delle funzioni</w:t>
      </w:r>
    </w:p>
    <w:p w14:paraId="0A7F7D53" w14:textId="1BAD3642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illustrare un diagramma di flusso che descriva i processi e indichi tutti gli organismi coinvolti</w:t>
      </w:r>
    </w:p>
    <w:p w14:paraId="57F796F8" w14:textId="77777777" w:rsidR="0079130C" w:rsidRPr="00080C8B" w:rsidRDefault="0079130C" w:rsidP="0079130C">
      <w:pPr>
        <w:pStyle w:val="Titolo4"/>
      </w:pPr>
      <w:r>
        <w:t>4.2.2</w:t>
      </w:r>
      <w:r>
        <w:tab/>
        <w:t>Le procedure per le verifiche di gestione</w:t>
      </w:r>
    </w:p>
    <w:p w14:paraId="50677C50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richiamo ad uno specifico e adeguato </w:t>
      </w:r>
      <w:r w:rsidRPr="00CE1081">
        <w:rPr>
          <w:b/>
          <w:i/>
          <w:color w:val="000000" w:themeColor="text1"/>
          <w:sz w:val="22"/>
          <w:szCs w:val="22"/>
        </w:rPr>
        <w:t>Manuale per il personale dell’OI</w:t>
      </w:r>
      <w:r w:rsidRPr="00CE1081">
        <w:rPr>
          <w:i/>
          <w:color w:val="000000" w:themeColor="text1"/>
          <w:sz w:val="22"/>
          <w:szCs w:val="22"/>
        </w:rPr>
        <w:t xml:space="preserve"> sulle verifiche di gestione che tiene conto delle istruzioni dell'</w:t>
      </w:r>
      <w:proofErr w:type="spellStart"/>
      <w:r w:rsidRPr="00CE1081">
        <w:rPr>
          <w:i/>
          <w:color w:val="000000" w:themeColor="text1"/>
          <w:sz w:val="22"/>
          <w:szCs w:val="22"/>
        </w:rPr>
        <w:t>AdG</w:t>
      </w:r>
      <w:proofErr w:type="spellEnd"/>
      <w:r w:rsidRPr="00CE1081">
        <w:rPr>
          <w:i/>
          <w:color w:val="000000" w:themeColor="text1"/>
          <w:sz w:val="22"/>
          <w:szCs w:val="22"/>
        </w:rPr>
        <w:t>, coerenti con la normativa comunitaria e nazionale in materia con:</w:t>
      </w:r>
    </w:p>
    <w:p w14:paraId="2D18E932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una data di riferimento e il numero di riferimento della versione</w:t>
      </w:r>
    </w:p>
    <w:p w14:paraId="2FB6FEBA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adeguate procedure per controllare i cambiamenti, l’introduzione o l’eliminazione di tali procedure e la loro comunicazione al personale</w:t>
      </w:r>
    </w:p>
    <w:p w14:paraId="165D7326" w14:textId="2E2C1FE6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indicare le procedure riguardanti le verifiche amministrative rispetto a ciascuna domanda di rimborso presentata dai beneficiari e le verifiche in loco delle operazioni ed in particolare adeguate procedure di controllo, ai sensi </w:t>
      </w:r>
      <w:r w:rsidRPr="0014071B">
        <w:rPr>
          <w:i/>
          <w:color w:val="000000" w:themeColor="text1"/>
          <w:sz w:val="22"/>
          <w:szCs w:val="22"/>
        </w:rPr>
        <w:t xml:space="preserve">dell'art. </w:t>
      </w:r>
      <w:r w:rsidR="00872F34" w:rsidRPr="0014071B">
        <w:rPr>
          <w:i/>
          <w:color w:val="000000" w:themeColor="text1"/>
          <w:sz w:val="22"/>
          <w:szCs w:val="22"/>
        </w:rPr>
        <w:t>74</w:t>
      </w:r>
      <w:r w:rsidRPr="0014071B">
        <w:rPr>
          <w:i/>
          <w:color w:val="000000" w:themeColor="text1"/>
          <w:sz w:val="22"/>
          <w:szCs w:val="22"/>
        </w:rPr>
        <w:t xml:space="preserve"> (</w:t>
      </w:r>
      <w:r w:rsidR="00872F34" w:rsidRPr="0014071B">
        <w:rPr>
          <w:i/>
          <w:color w:val="000000" w:themeColor="text1"/>
          <w:sz w:val="22"/>
          <w:szCs w:val="22"/>
        </w:rPr>
        <w:t>1</w:t>
      </w:r>
      <w:r w:rsidRPr="0014071B">
        <w:rPr>
          <w:i/>
          <w:color w:val="000000" w:themeColor="text1"/>
          <w:sz w:val="22"/>
          <w:szCs w:val="22"/>
        </w:rPr>
        <w:t>)(a) del</w:t>
      </w:r>
      <w:r w:rsidRPr="00CE1081">
        <w:rPr>
          <w:i/>
          <w:color w:val="000000" w:themeColor="text1"/>
          <w:sz w:val="22"/>
          <w:szCs w:val="22"/>
        </w:rPr>
        <w:t xml:space="preserve"> Reg. (UE) n. 1</w:t>
      </w:r>
      <w:r w:rsidR="00872F34">
        <w:rPr>
          <w:i/>
          <w:color w:val="000000" w:themeColor="text1"/>
          <w:sz w:val="22"/>
          <w:szCs w:val="22"/>
        </w:rPr>
        <w:t>060</w:t>
      </w:r>
      <w:r w:rsidRPr="00CE1081">
        <w:rPr>
          <w:i/>
          <w:color w:val="000000" w:themeColor="text1"/>
          <w:sz w:val="22"/>
          <w:szCs w:val="22"/>
        </w:rPr>
        <w:t>/20</w:t>
      </w:r>
      <w:r w:rsidR="00872F34">
        <w:rPr>
          <w:i/>
          <w:color w:val="000000" w:themeColor="text1"/>
          <w:sz w:val="22"/>
          <w:szCs w:val="22"/>
        </w:rPr>
        <w:t>21</w:t>
      </w:r>
      <w:r w:rsidRPr="00CE1081">
        <w:rPr>
          <w:i/>
          <w:color w:val="000000" w:themeColor="text1"/>
          <w:sz w:val="22"/>
          <w:szCs w:val="22"/>
        </w:rPr>
        <w:t xml:space="preserve">, che consentano di verificare che: </w:t>
      </w:r>
    </w:p>
    <w:p w14:paraId="1A172949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 prodotti e i servizi cofinanziati siano stati forniti</w:t>
      </w:r>
    </w:p>
    <w:p w14:paraId="05979D01" w14:textId="6DD09524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le spese dichiarate dai B</w:t>
      </w:r>
      <w:r w:rsidR="00CE1081" w:rsidRPr="00CE1081">
        <w:rPr>
          <w:i/>
          <w:color w:val="000000" w:themeColor="text1"/>
          <w:sz w:val="22"/>
          <w:szCs w:val="22"/>
        </w:rPr>
        <w:t>eneficiari siano state pagate e</w:t>
      </w:r>
      <w:r w:rsidRPr="00CE1081">
        <w:rPr>
          <w:i/>
          <w:color w:val="000000" w:themeColor="text1"/>
          <w:sz w:val="22"/>
          <w:szCs w:val="22"/>
        </w:rPr>
        <w:t xml:space="preserve"> che queste ultime siano conformi al diritto applicabile (comprese le norme nazionali di ammissibilità) al Programma </w:t>
      </w:r>
      <w:r w:rsidR="00872F34">
        <w:rPr>
          <w:i/>
          <w:color w:val="000000" w:themeColor="text1"/>
          <w:sz w:val="22"/>
          <w:szCs w:val="22"/>
        </w:rPr>
        <w:t>Regionale</w:t>
      </w:r>
      <w:r w:rsidRPr="00CE1081">
        <w:rPr>
          <w:i/>
          <w:color w:val="000000" w:themeColor="text1"/>
          <w:sz w:val="22"/>
          <w:szCs w:val="22"/>
        </w:rPr>
        <w:t xml:space="preserve"> e alle condizioni per il sostegno dell'operazione</w:t>
      </w:r>
    </w:p>
    <w:p w14:paraId="246EEDC8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le spese dichiarate siano conformi con le politiche dell'Unione (quelle relative al partenariato e alla </w:t>
      </w:r>
      <w:proofErr w:type="spellStart"/>
      <w:r w:rsidRPr="00CE1081">
        <w:rPr>
          <w:i/>
          <w:color w:val="000000" w:themeColor="text1"/>
          <w:sz w:val="22"/>
          <w:szCs w:val="22"/>
        </w:rPr>
        <w:t>governance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multilivello, alla promozione della parità tra uomini e donne, alla non discriminazione, ecc.)</w:t>
      </w:r>
    </w:p>
    <w:p w14:paraId="4EA4D0E5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per assicurare che, la frequenza e la portata delle verifiche in loco, siano proporzionali:</w:t>
      </w:r>
    </w:p>
    <w:p w14:paraId="23EEC6B9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all'ammontare del sostegno pubblico ad un'operazione,</w:t>
      </w:r>
    </w:p>
    <w:p w14:paraId="1A4A5F68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al livello di rischio individuato da tali verifiche e dagli audit effettuati dall'Autorità di audit per il sistema di gestione e controllo nel suo complesso</w:t>
      </w:r>
    </w:p>
    <w:p w14:paraId="323AD51A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indicare le procedure scritte e le </w:t>
      </w:r>
      <w:proofErr w:type="spellStart"/>
      <w:r w:rsidRPr="00CE1081">
        <w:rPr>
          <w:i/>
          <w:color w:val="000000" w:themeColor="text1"/>
          <w:sz w:val="22"/>
          <w:szCs w:val="22"/>
        </w:rPr>
        <w:t>check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list che devono essere utilizzate per le verifiche di gestione, al fine di rilevare eventuali irregolarità. Le </w:t>
      </w:r>
      <w:proofErr w:type="spellStart"/>
      <w:r w:rsidRPr="00CE1081">
        <w:rPr>
          <w:i/>
          <w:color w:val="000000" w:themeColor="text1"/>
          <w:sz w:val="22"/>
          <w:szCs w:val="22"/>
        </w:rPr>
        <w:t>check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list dovrebbero riguardare in particolare le verifiche su: </w:t>
      </w:r>
    </w:p>
    <w:p w14:paraId="160E0264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la correttezza della domanda di rimborso</w:t>
      </w:r>
    </w:p>
    <w:p w14:paraId="327E75CB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lastRenderedPageBreak/>
        <w:t xml:space="preserve"> il periodo di ammissibilità</w:t>
      </w:r>
    </w:p>
    <w:p w14:paraId="3879C0D1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la conformità con il progetto approvato</w:t>
      </w:r>
    </w:p>
    <w:p w14:paraId="31E6E420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la conformità con il tasso di finanziamento approvato</w:t>
      </w:r>
    </w:p>
    <w:p w14:paraId="01CA5D12" w14:textId="42CE6048" w:rsidR="0079130C" w:rsidRPr="00CE1081" w:rsidRDefault="0079130C" w:rsidP="00412A72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il rispetto delle norme di ammissibilità e alla disciplina nazionale e comunitaria in materia di appalti pubblici, aiuti di Stato, ambiente, strumenti finanziari, sviluppo sostenibile, pubblicità e requisiti di pari opportunità e di non discriminazione</w:t>
      </w:r>
      <w:r w:rsidR="00412A72">
        <w:rPr>
          <w:i/>
          <w:color w:val="000000" w:themeColor="text1"/>
          <w:sz w:val="22"/>
          <w:szCs w:val="22"/>
        </w:rPr>
        <w:t xml:space="preserve">, </w:t>
      </w:r>
      <w:r w:rsidR="00412A72" w:rsidRPr="00412A72">
        <w:rPr>
          <w:i/>
          <w:color w:val="000000" w:themeColor="text1"/>
          <w:sz w:val="22"/>
          <w:szCs w:val="22"/>
        </w:rPr>
        <w:t xml:space="preserve">trasparenza e accesso alle persone con disabilità, parità di genere, Carta dei diritti fondamentali dell'Unione europea, principio dello sviluppo sostenibile e della politica dell'Unione in materia di ambiente, </w:t>
      </w:r>
      <w:r w:rsidR="005E0481">
        <w:rPr>
          <w:i/>
          <w:color w:val="000000" w:themeColor="text1"/>
          <w:sz w:val="22"/>
          <w:szCs w:val="22"/>
        </w:rPr>
        <w:t xml:space="preserve">DNSH, </w:t>
      </w:r>
      <w:r w:rsidR="00412A72" w:rsidRPr="00412A72">
        <w:rPr>
          <w:i/>
          <w:color w:val="000000" w:themeColor="text1"/>
          <w:sz w:val="22"/>
          <w:szCs w:val="22"/>
        </w:rPr>
        <w:t>conformemente all'articolo 11 e all'articolo 191, paragrafo 1, del TFUE</w:t>
      </w:r>
      <w:r w:rsidR="00412A72">
        <w:rPr>
          <w:i/>
          <w:color w:val="000000" w:themeColor="text1"/>
          <w:sz w:val="22"/>
          <w:szCs w:val="22"/>
        </w:rPr>
        <w:t>;</w:t>
      </w:r>
    </w:p>
    <w:p w14:paraId="4B612CEB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la realtà del progetto, in coerenza con la decisione di sovvenzione compresi gli indicatori di realizzazione e di risultato</w:t>
      </w:r>
    </w:p>
    <w:p w14:paraId="6A0501BF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le spese dichiarate e l'esistenza della pista di controllo</w:t>
      </w:r>
    </w:p>
    <w:p w14:paraId="5D20ED14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il sistema di contabilità separata o una codificazione contabile adeguata delle transazioni effettuate dai Beneficiari</w:t>
      </w:r>
    </w:p>
    <w:p w14:paraId="5333F94C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la coerenza con i criteri di selezione dei PO </w:t>
      </w:r>
    </w:p>
    <w:p w14:paraId="0BEFBB12" w14:textId="1B692BAE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le opzioni di semplificazione dei costi come previsto dall'art. </w:t>
      </w:r>
      <w:r w:rsidR="00412A72">
        <w:rPr>
          <w:i/>
          <w:color w:val="000000" w:themeColor="text1"/>
          <w:sz w:val="22"/>
          <w:szCs w:val="22"/>
        </w:rPr>
        <w:t>53</w:t>
      </w:r>
      <w:r w:rsidRPr="00CE1081">
        <w:rPr>
          <w:i/>
          <w:color w:val="000000" w:themeColor="text1"/>
          <w:sz w:val="22"/>
          <w:szCs w:val="22"/>
        </w:rPr>
        <w:t xml:space="preserve"> del Reg.(UE) n.1</w:t>
      </w:r>
      <w:r w:rsidR="00412A72">
        <w:rPr>
          <w:i/>
          <w:color w:val="000000" w:themeColor="text1"/>
          <w:sz w:val="22"/>
          <w:szCs w:val="22"/>
        </w:rPr>
        <w:t>060</w:t>
      </w:r>
      <w:r w:rsidRPr="00CE1081">
        <w:rPr>
          <w:i/>
          <w:color w:val="000000" w:themeColor="text1"/>
          <w:sz w:val="22"/>
          <w:szCs w:val="22"/>
        </w:rPr>
        <w:t>/20</w:t>
      </w:r>
      <w:r w:rsidR="00412A72">
        <w:rPr>
          <w:i/>
          <w:color w:val="000000" w:themeColor="text1"/>
          <w:sz w:val="22"/>
          <w:szCs w:val="22"/>
        </w:rPr>
        <w:t>21</w:t>
      </w:r>
    </w:p>
    <w:p w14:paraId="06E84895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 progetti generatori di entrate</w:t>
      </w:r>
    </w:p>
    <w:p w14:paraId="18352199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che garantisca che le verifiche in loco siano svolte quando il progetto è ben avviato, sia in termini di avanzamento fisico che finanziario</w:t>
      </w:r>
    </w:p>
    <w:p w14:paraId="4956972A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assicurare che l’OI conservi un registro di ciascuna verifica, indicante il lavoro svolto, i dati e i risultati della verifica, il follow-up dei risultati rilevati, comprese le misure adottate in caso di irregolarità riscontrate</w:t>
      </w:r>
    </w:p>
    <w:p w14:paraId="19F20306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utilizzata e registrata per giustificare il metodo di campionamento delle verifiche in loco, se diverso da quello proposto dall’</w:t>
      </w:r>
      <w:proofErr w:type="spellStart"/>
      <w:r w:rsidRPr="00CE1081">
        <w:rPr>
          <w:i/>
          <w:color w:val="000000" w:themeColor="text1"/>
          <w:sz w:val="22"/>
          <w:szCs w:val="22"/>
        </w:rPr>
        <w:t>AdG</w:t>
      </w:r>
      <w:proofErr w:type="spellEnd"/>
    </w:p>
    <w:p w14:paraId="746AABB5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qualora le verifiche in loco non siano esaustive, indicare la procedura che garantisca che il campionamento delle operazioni si basi su una valutazione dei rischi adeguata e che i registri identifichino le operazioni selezionate, descrivano il metodo di campionamento utilizzato e forniscano una panoramica delle conclusioni delle verifiche e delle irregolarità rilevate</w:t>
      </w:r>
    </w:p>
    <w:p w14:paraId="3B4A373D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verificare che i beneficiari mantengano un sistema di contabilità separata, o una codificazione contabile adeguata per tutte le transazioni relative a un'operazione, che consenta la verifica:</w:t>
      </w:r>
    </w:p>
    <w:p w14:paraId="2935FBFF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della corretta assegnazione delle spese che si riferiscono, solo in parte, ad operazioni cofinanziate </w:t>
      </w:r>
    </w:p>
    <w:p w14:paraId="17114180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di alcune tipologie di spese che sono considerate ammissibili solo entro determinati limiti o in proporzione ad altri costi</w:t>
      </w:r>
    </w:p>
    <w:p w14:paraId="0C0A9981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garantire che le verifiche amministrative, relative alle spese inserite in una specifica dichiarazione dell’</w:t>
      </w:r>
      <w:proofErr w:type="spellStart"/>
      <w:r w:rsidRPr="00CE1081">
        <w:rPr>
          <w:i/>
          <w:color w:val="000000" w:themeColor="text1"/>
          <w:sz w:val="22"/>
          <w:szCs w:val="22"/>
        </w:rPr>
        <w:t>AdC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, siano completate prima della presentazione di una domanda di pagamento intermedio alla UE </w:t>
      </w:r>
    </w:p>
    <w:p w14:paraId="0DAFA0B7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la registrazione di ciascuna verifica, indicando il lavoro svolto, la data e i risultati della verifica nonché il follow-up dei risultati rilevati comprese le misure antifrode adottate in caso siano state riscontrate irregolarità</w:t>
      </w:r>
    </w:p>
    <w:p w14:paraId="25B53E76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come sono trasmesse all’</w:t>
      </w:r>
      <w:proofErr w:type="spellStart"/>
      <w:r w:rsidRPr="00CE1081">
        <w:rPr>
          <w:i/>
          <w:color w:val="000000" w:themeColor="text1"/>
          <w:sz w:val="22"/>
          <w:szCs w:val="22"/>
        </w:rPr>
        <w:t>AdG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le informazioni relative alle verifiche effettuate comprese le informazioni sulle </w:t>
      </w:r>
      <w:r w:rsidRPr="00CE1081">
        <w:rPr>
          <w:b/>
          <w:i/>
          <w:color w:val="000000" w:themeColor="text1"/>
          <w:sz w:val="22"/>
          <w:szCs w:val="22"/>
        </w:rPr>
        <w:t>carenze e/o irregolarità</w:t>
      </w:r>
      <w:r w:rsidRPr="00CE1081">
        <w:rPr>
          <w:i/>
          <w:color w:val="000000" w:themeColor="text1"/>
          <w:sz w:val="22"/>
          <w:szCs w:val="22"/>
        </w:rPr>
        <w:t xml:space="preserve"> rilevate (inclusi i casi di frode sospetta e quelli accertati) e sul loro </w:t>
      </w:r>
      <w:proofErr w:type="spellStart"/>
      <w:r w:rsidRPr="00CE1081">
        <w:rPr>
          <w:i/>
          <w:color w:val="000000" w:themeColor="text1"/>
          <w:sz w:val="22"/>
          <w:szCs w:val="22"/>
        </w:rPr>
        <w:t>follow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up nel contesto delle verifiche di gestione, degli audit e dei controlli effettuati da parte dell'Unione o degli organismi nazionali</w:t>
      </w:r>
    </w:p>
    <w:p w14:paraId="3529EE43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le comunicazioni al soggetto sottoposto alle verifiche di gestione</w:t>
      </w:r>
    </w:p>
    <w:p w14:paraId="24A65F6D" w14:textId="77777777" w:rsidR="0079130C" w:rsidRPr="00E87345" w:rsidRDefault="0079130C" w:rsidP="0079130C">
      <w:pPr>
        <w:pStyle w:val="Titolo4"/>
      </w:pPr>
      <w:r>
        <w:t>4.2.3</w:t>
      </w:r>
      <w:r>
        <w:tab/>
      </w:r>
      <w:r w:rsidRPr="00E87345">
        <w:t>Trattamento delle domande di rimborso</w:t>
      </w:r>
    </w:p>
    <w:p w14:paraId="1DA79F55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per il trattamento delle domande di rimborso dei beneficiari e le procedure di autorizzazione, esecuzione e contabilizzazione dei pagamenti a favore degli stessi, effettuate tramite sistemi di scambio elettronico dei dati che descrivono</w:t>
      </w:r>
    </w:p>
    <w:p w14:paraId="42984556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lastRenderedPageBreak/>
        <w:t>i singoli passaggi della procedura di ricezione, verifica e approvazione della domanda di rimborso anche in caso di utilizzo delle opzioni di semplificazione dei costi</w:t>
      </w:r>
    </w:p>
    <w:p w14:paraId="66A8DCB1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 singoli passaggi della procedura in base alla quale i pagamenti ai beneficiari sono autorizzati, eseguiti e contabilizzati</w:t>
      </w:r>
    </w:p>
    <w:p w14:paraId="77275414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qual è l'organismo responsabile di ogni fase del trattamento delle domande di rimborso</w:t>
      </w:r>
    </w:p>
    <w:p w14:paraId="3AD1850B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che assicurino un'adeguata separazione delle funzioni nel processo</w:t>
      </w:r>
    </w:p>
    <w:p w14:paraId="12E9C18E" w14:textId="54A89A5C" w:rsidR="0079130C" w:rsidRPr="00CE1081" w:rsidRDefault="00CE1081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che  prevedo</w:t>
      </w:r>
      <w:r w:rsidR="0079130C" w:rsidRPr="00CE1081">
        <w:rPr>
          <w:i/>
          <w:color w:val="000000" w:themeColor="text1"/>
          <w:sz w:val="22"/>
          <w:szCs w:val="22"/>
        </w:rPr>
        <w:t>no che siano allegati tutti i documenti giustificativi alla domanda di rimborso</w:t>
      </w:r>
    </w:p>
    <w:p w14:paraId="2CB30DCC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le modalità con la quale l’OI comunica i risultati dei controlli all'</w:t>
      </w:r>
      <w:proofErr w:type="spellStart"/>
      <w:r w:rsidRPr="00CE1081">
        <w:rPr>
          <w:i/>
          <w:color w:val="000000" w:themeColor="text1"/>
          <w:sz w:val="22"/>
          <w:szCs w:val="22"/>
        </w:rPr>
        <w:t>AdG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</w:t>
      </w:r>
    </w:p>
    <w:p w14:paraId="6C252133" w14:textId="2CBD61B8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garantiscano il rispetto del termine di </w:t>
      </w:r>
      <w:r w:rsidR="00F61162">
        <w:rPr>
          <w:i/>
          <w:color w:val="000000" w:themeColor="text1"/>
          <w:sz w:val="22"/>
          <w:szCs w:val="22"/>
        </w:rPr>
        <w:t>8</w:t>
      </w:r>
      <w:r w:rsidRPr="00CE1081">
        <w:rPr>
          <w:i/>
          <w:color w:val="000000" w:themeColor="text1"/>
          <w:sz w:val="22"/>
          <w:szCs w:val="22"/>
        </w:rPr>
        <w:t>0 giorni per i pagamenti ai beneficiari</w:t>
      </w:r>
    </w:p>
    <w:p w14:paraId="6777966A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in un diagramma di flusso la descrizione del processo del trattamento delle domande di rimborso e gli organismi coinvolti</w:t>
      </w:r>
    </w:p>
    <w:p w14:paraId="71D24822" w14:textId="77777777" w:rsidR="0079130C" w:rsidRPr="00573389" w:rsidRDefault="0079130C" w:rsidP="0079130C">
      <w:pPr>
        <w:pStyle w:val="Titolo4"/>
      </w:pPr>
      <w:r>
        <w:t>4.2.4.</w:t>
      </w:r>
      <w:r>
        <w:tab/>
      </w:r>
      <w:r w:rsidRPr="00573389">
        <w:t>Pista di controllo e conservazione documenti</w:t>
      </w:r>
    </w:p>
    <w:p w14:paraId="2B262236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garantire la registrazione dei dati sull’identità e l’ubicazione degli organismi che conservano i documenti giustificativi delle spese e degli audit</w:t>
      </w:r>
    </w:p>
    <w:p w14:paraId="70FB2DC8" w14:textId="06152E40" w:rsidR="0079130C" w:rsidRPr="00CE1081" w:rsidRDefault="0079130C" w:rsidP="00F61162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garantire che tutti i documenti necessari per assicurare un'adeguata pista di controllo</w:t>
      </w:r>
      <w:r w:rsidR="00F61162">
        <w:rPr>
          <w:i/>
          <w:color w:val="000000" w:themeColor="text1"/>
          <w:sz w:val="22"/>
          <w:szCs w:val="22"/>
        </w:rPr>
        <w:t xml:space="preserve"> </w:t>
      </w:r>
      <w:r w:rsidR="00F61162" w:rsidRPr="00F61162">
        <w:rPr>
          <w:i/>
          <w:color w:val="000000" w:themeColor="text1"/>
          <w:sz w:val="22"/>
          <w:szCs w:val="22"/>
        </w:rPr>
        <w:t>di cui all'a</w:t>
      </w:r>
      <w:r w:rsidR="00F61162">
        <w:rPr>
          <w:i/>
          <w:color w:val="000000" w:themeColor="text1"/>
          <w:sz w:val="22"/>
          <w:szCs w:val="22"/>
        </w:rPr>
        <w:t>llegato XIII del REG (UE) n.1060/2021</w:t>
      </w:r>
      <w:r w:rsidRPr="00CE1081">
        <w:rPr>
          <w:i/>
          <w:color w:val="000000" w:themeColor="text1"/>
          <w:sz w:val="22"/>
          <w:szCs w:val="22"/>
        </w:rPr>
        <w:t xml:space="preserve"> siano tenuti in conformità con i requisiti di cui al Reg. (UE) n. 1</w:t>
      </w:r>
      <w:r w:rsidR="000F3A8F">
        <w:rPr>
          <w:i/>
          <w:color w:val="000000" w:themeColor="text1"/>
          <w:sz w:val="22"/>
          <w:szCs w:val="22"/>
        </w:rPr>
        <w:t>060</w:t>
      </w:r>
      <w:r w:rsidRPr="00CE1081">
        <w:rPr>
          <w:i/>
          <w:color w:val="000000" w:themeColor="text1"/>
          <w:sz w:val="22"/>
          <w:szCs w:val="22"/>
        </w:rPr>
        <w:t>/20</w:t>
      </w:r>
      <w:r w:rsidR="000F3A8F">
        <w:rPr>
          <w:i/>
          <w:color w:val="000000" w:themeColor="text1"/>
          <w:sz w:val="22"/>
          <w:szCs w:val="22"/>
        </w:rPr>
        <w:t>21</w:t>
      </w:r>
      <w:r w:rsidRPr="00CE1081">
        <w:rPr>
          <w:i/>
          <w:color w:val="000000" w:themeColor="text1"/>
          <w:sz w:val="22"/>
          <w:szCs w:val="22"/>
        </w:rPr>
        <w:t xml:space="preserve"> art. </w:t>
      </w:r>
      <w:r w:rsidR="00F61162">
        <w:rPr>
          <w:i/>
          <w:color w:val="000000" w:themeColor="text1"/>
          <w:sz w:val="22"/>
          <w:szCs w:val="22"/>
        </w:rPr>
        <w:t>8</w:t>
      </w:r>
      <w:r w:rsidRPr="00CE1081">
        <w:rPr>
          <w:i/>
          <w:color w:val="000000" w:themeColor="text1"/>
          <w:sz w:val="22"/>
          <w:szCs w:val="22"/>
        </w:rPr>
        <w:t>2</w:t>
      </w:r>
    </w:p>
    <w:p w14:paraId="6F184C63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l'archiviazione dei documenti (con l'indicazione della tipologia di documenti che devono essere archiviati, il periodo di archiviazione, il formato in cui i documenti devono essere conservati)</w:t>
      </w:r>
    </w:p>
    <w:p w14:paraId="12376030" w14:textId="0071D052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per fornire ai beneficia</w:t>
      </w:r>
      <w:r w:rsidR="009100A2">
        <w:rPr>
          <w:i/>
          <w:color w:val="000000" w:themeColor="text1"/>
          <w:sz w:val="22"/>
          <w:szCs w:val="22"/>
        </w:rPr>
        <w:t>ri</w:t>
      </w:r>
      <w:r w:rsidRPr="00CE1081">
        <w:rPr>
          <w:i/>
          <w:color w:val="000000" w:themeColor="text1"/>
          <w:sz w:val="22"/>
          <w:szCs w:val="22"/>
        </w:rPr>
        <w:t xml:space="preserve"> istruzioni sulla conservazione dei documenti giustificativi dei documenti con la data di aggiornamento del documento</w:t>
      </w:r>
    </w:p>
    <w:p w14:paraId="7171CC67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descrivere la pista di controllo che:</w:t>
      </w:r>
    </w:p>
    <w:p w14:paraId="35BB89BF" w14:textId="3EB2EC6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consente la riconciliaz</w:t>
      </w:r>
      <w:r w:rsidR="00CE1081" w:rsidRPr="00CE1081">
        <w:rPr>
          <w:i/>
          <w:color w:val="000000" w:themeColor="text1"/>
          <w:sz w:val="22"/>
          <w:szCs w:val="22"/>
        </w:rPr>
        <w:t xml:space="preserve">ione degli importi complessivi </w:t>
      </w:r>
      <w:r w:rsidRPr="00CE1081">
        <w:rPr>
          <w:i/>
          <w:color w:val="000000" w:themeColor="text1"/>
          <w:sz w:val="22"/>
          <w:szCs w:val="22"/>
        </w:rPr>
        <w:t>certificati alla Commissione con i documenti contabili dettagliati e i documenti giustificativi conservati dall'Autorità di Certificazione, dall'Autorità di Gestione, dagli Organismi Intermedi e dai Beneficiari riguardo alle operazioni cofinanziate dal Programma Operativo</w:t>
      </w:r>
    </w:p>
    <w:p w14:paraId="76A047D0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che permette la verifica del pagamento del contributo pubblico al Beneficiario</w:t>
      </w:r>
    </w:p>
    <w:p w14:paraId="7DEFF82F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che consente la verifica dell'applicazione dei criteri di selezione stabiliti dal Comitato di Sorveglianza</w:t>
      </w:r>
    </w:p>
    <w:p w14:paraId="7A112C90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che contiene, per ogni operazione se necessario, le specifiche tecniche, il piano di finanziamento, i documenti riguardanti l'approvazione della sovvenzione, il documento relativo alle procedure di aggiudicazione degli appalti pubblici, le relazioni di avanzamento e i rapporti sulle verifiche e sugli audit effettuati</w:t>
      </w:r>
    </w:p>
    <w:p w14:paraId="7FE79C80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per garantire che le specifiche tecniche e il piano finanziario dell'operazione, i rapporti di attuazione e monitoraggio, i documenti riguardanti l'attuazione, la valutazione, la selezione, l'approvazione delle sovvenzioni, le procedure di gara e di aggiudicazione, le relazioni sulle verifiche dei prodotti e dei servizi cofinanziati, siano mantenuti ad un livello di gestione adeguato</w:t>
      </w:r>
    </w:p>
    <w:p w14:paraId="736BD501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procedura in atto per garantire che i dati contabili delle operazioni siano mantenuti ad un livello gestionale appropriato e forniscano informazioni dettagliate sulle spese effettivamente pagate dal beneficiario per ogni operazione</w:t>
      </w:r>
    </w:p>
    <w:p w14:paraId="0AD786F8" w14:textId="77777777" w:rsidR="0079130C" w:rsidRPr="00573389" w:rsidRDefault="0079130C" w:rsidP="0079130C">
      <w:pPr>
        <w:pStyle w:val="Titolo4"/>
      </w:pPr>
      <w:r>
        <w:t>4.2.5.</w:t>
      </w:r>
      <w:r>
        <w:tab/>
      </w:r>
      <w:r w:rsidRPr="00573389">
        <w:t>Informazioni ai beneficiari</w:t>
      </w:r>
    </w:p>
    <w:p w14:paraId="09619876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per garantire che il Beneficiario disponga di un documento contenente le condizioni per il sostegno relativo a ciascuna operazione. In particolare, tali procedure trattano adeguatamente:</w:t>
      </w:r>
    </w:p>
    <w:p w14:paraId="00229B79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le norme in materia di ammissibilità sia nazionali che comunitarie; </w:t>
      </w:r>
    </w:p>
    <w:p w14:paraId="4AB311B3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 requisiti specifici relativi a prodotti o servizi che dovranno essere forniti nell'ambito dell'operazione; </w:t>
      </w:r>
    </w:p>
    <w:p w14:paraId="52BAE854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il piano finanziario e il termine per l'esecuzione; </w:t>
      </w:r>
    </w:p>
    <w:p w14:paraId="676FC0BF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 requisiti concernenti la contabilità separata o una codificazione contabile adeguata; </w:t>
      </w:r>
    </w:p>
    <w:p w14:paraId="45423E3F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lastRenderedPageBreak/>
        <w:t>le informazioni da conservare e comunicare;</w:t>
      </w:r>
    </w:p>
    <w:p w14:paraId="195ACF14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gli obblighi in materia di informazione e pubblicità.</w:t>
      </w:r>
    </w:p>
    <w:p w14:paraId="4BC70416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la strategia per garantire che i beneficiari abbiano accesso alle informazioni necessarie e ricevere un adeguato livello di orientamento (volantini, opuscoli, seminari, workshop, siti web, ecc.)</w:t>
      </w:r>
    </w:p>
    <w:p w14:paraId="2CF4A752" w14:textId="10BC6285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le procedure predisposte per verificare che il beneficiario abbia la capacità amministrativa, finanziaria e operativa per soddisfare le condizioni definite a</w:t>
      </w:r>
      <w:r w:rsidR="00F61162">
        <w:rPr>
          <w:i/>
          <w:color w:val="000000" w:themeColor="text1"/>
          <w:sz w:val="22"/>
          <w:szCs w:val="22"/>
        </w:rPr>
        <w:t xml:space="preserve">gli artt. </w:t>
      </w:r>
      <w:r w:rsidR="0073428A">
        <w:rPr>
          <w:i/>
          <w:color w:val="000000" w:themeColor="text1"/>
          <w:sz w:val="22"/>
          <w:szCs w:val="22"/>
        </w:rPr>
        <w:t xml:space="preserve">65 e 73 par. 3 </w:t>
      </w:r>
      <w:r w:rsidR="00CE1081">
        <w:rPr>
          <w:i/>
          <w:color w:val="000000" w:themeColor="text1"/>
          <w:sz w:val="22"/>
          <w:szCs w:val="22"/>
        </w:rPr>
        <w:t>del Reg. (UE) n. 1</w:t>
      </w:r>
      <w:r w:rsidR="0073428A">
        <w:rPr>
          <w:i/>
          <w:color w:val="000000" w:themeColor="text1"/>
          <w:sz w:val="22"/>
          <w:szCs w:val="22"/>
        </w:rPr>
        <w:t>060</w:t>
      </w:r>
      <w:r w:rsidR="00CE1081">
        <w:rPr>
          <w:i/>
          <w:color w:val="000000" w:themeColor="text1"/>
          <w:sz w:val="22"/>
          <w:szCs w:val="22"/>
        </w:rPr>
        <w:t>/20</w:t>
      </w:r>
      <w:r w:rsidR="0073428A">
        <w:rPr>
          <w:i/>
          <w:color w:val="000000" w:themeColor="text1"/>
          <w:sz w:val="22"/>
          <w:szCs w:val="22"/>
        </w:rPr>
        <w:t>21</w:t>
      </w:r>
      <w:r w:rsidR="00CE1081">
        <w:rPr>
          <w:i/>
          <w:color w:val="000000" w:themeColor="text1"/>
          <w:sz w:val="22"/>
          <w:szCs w:val="22"/>
        </w:rPr>
        <w:t xml:space="preserve"> </w:t>
      </w:r>
      <w:r w:rsidRPr="00CE1081">
        <w:rPr>
          <w:i/>
          <w:color w:val="000000" w:themeColor="text1"/>
          <w:sz w:val="22"/>
          <w:szCs w:val="22"/>
        </w:rPr>
        <w:t>prima dell'approvazione dell'operazione</w:t>
      </w:r>
    </w:p>
    <w:p w14:paraId="40C3BAC6" w14:textId="77777777" w:rsidR="0079130C" w:rsidRPr="00573389" w:rsidRDefault="0079130C" w:rsidP="0079130C">
      <w:pPr>
        <w:pStyle w:val="Titolo4"/>
      </w:pPr>
      <w:r>
        <w:t>4.2.6.</w:t>
      </w:r>
      <w:r>
        <w:tab/>
      </w:r>
      <w:r w:rsidRPr="00573389">
        <w:t>Gestione informatizzata delle operazioni</w:t>
      </w:r>
    </w:p>
    <w:p w14:paraId="2FE10A6F" w14:textId="399E482E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indicare l’esistenza un </w:t>
      </w:r>
      <w:r w:rsidRPr="00CE1081">
        <w:rPr>
          <w:b/>
          <w:i/>
          <w:color w:val="000000" w:themeColor="text1"/>
          <w:sz w:val="22"/>
          <w:szCs w:val="22"/>
        </w:rPr>
        <w:t>sistema informatizzato proprio</w:t>
      </w:r>
      <w:r w:rsidRPr="00CE1081">
        <w:rPr>
          <w:i/>
          <w:color w:val="000000" w:themeColor="text1"/>
          <w:sz w:val="22"/>
          <w:szCs w:val="22"/>
        </w:rPr>
        <w:t xml:space="preserve"> nel quale i dati relativi a ciascuna operazione sono disponibili all’interno di un sistema di raccolta, registrazione e conservazione informatizzata degli stessi che consente di acquisire i dati dai beneficiari e di trasferirli all’</w:t>
      </w:r>
      <w:proofErr w:type="spellStart"/>
      <w:r w:rsidRPr="00CE1081">
        <w:rPr>
          <w:i/>
          <w:color w:val="000000" w:themeColor="text1"/>
          <w:sz w:val="22"/>
          <w:szCs w:val="22"/>
        </w:rPr>
        <w:t>AdG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 che tratta adeguatamente la questione della separazione delle funzioni</w:t>
      </w:r>
    </w:p>
    <w:p w14:paraId="675A0942" w14:textId="77777777" w:rsidR="0079130C" w:rsidRPr="00CE1081" w:rsidRDefault="0079130C" w:rsidP="0079130C">
      <w:pPr>
        <w:pStyle w:val="Paragrafoelenco"/>
        <w:numPr>
          <w:ilvl w:val="0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indicare operatività del sistema descritto. In caso contrario specificare:</w:t>
      </w:r>
    </w:p>
    <w:p w14:paraId="04220704" w14:textId="77777777" w:rsidR="0079130C" w:rsidRPr="00CE1081" w:rsidRDefault="0079130C" w:rsidP="0079130C">
      <w:pPr>
        <w:pStyle w:val="Paragrafoelenco"/>
        <w:numPr>
          <w:ilvl w:val="0"/>
          <w:numId w:val="2"/>
        </w:numPr>
        <w:jc w:val="both"/>
        <w:rPr>
          <w:b/>
          <w:i/>
          <w:color w:val="000000" w:themeColor="text1"/>
          <w:sz w:val="22"/>
          <w:szCs w:val="22"/>
        </w:rPr>
      </w:pPr>
      <w:r w:rsidRPr="00CE1081">
        <w:rPr>
          <w:b/>
          <w:i/>
          <w:color w:val="000000" w:themeColor="text1"/>
          <w:sz w:val="22"/>
          <w:szCs w:val="22"/>
        </w:rPr>
        <w:t>se si sta provvedendo alla realizzazione/aggiornamento di un sistema proprio che attraverso protocolli di colloquio trasmetterà le informazioni all’</w:t>
      </w:r>
      <w:proofErr w:type="spellStart"/>
      <w:r w:rsidRPr="00CE1081">
        <w:rPr>
          <w:b/>
          <w:i/>
          <w:color w:val="000000" w:themeColor="text1"/>
          <w:sz w:val="22"/>
          <w:szCs w:val="22"/>
        </w:rPr>
        <w:t>AdG</w:t>
      </w:r>
      <w:proofErr w:type="spellEnd"/>
    </w:p>
    <w:p w14:paraId="2873D65B" w14:textId="23881971" w:rsidR="0079130C" w:rsidRPr="00CE1081" w:rsidRDefault="0079130C" w:rsidP="0073428A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>valutare sulla base della pianificazione degli organi competenti, se il sistema sarà operativo in linea con l'articolo</w:t>
      </w:r>
      <w:r w:rsidR="0073428A">
        <w:rPr>
          <w:i/>
          <w:color w:val="000000" w:themeColor="text1"/>
          <w:sz w:val="22"/>
          <w:szCs w:val="22"/>
        </w:rPr>
        <w:t xml:space="preserve"> 72 (1) (e) </w:t>
      </w:r>
      <w:r w:rsidR="0073428A" w:rsidRPr="0073428A">
        <w:rPr>
          <w:i/>
          <w:color w:val="000000" w:themeColor="text1"/>
          <w:sz w:val="22"/>
          <w:szCs w:val="22"/>
        </w:rPr>
        <w:t>del Reg. (UE) n. 1060/2021</w:t>
      </w:r>
      <w:r w:rsidRPr="00CE1081">
        <w:rPr>
          <w:i/>
          <w:color w:val="000000" w:themeColor="text1"/>
          <w:sz w:val="22"/>
          <w:szCs w:val="22"/>
        </w:rPr>
        <w:t xml:space="preserve">.  Indicare la data in cui saranno operativi, al fine di garantire il rispetto delle disposizioni di cui sopra e dell'art. </w:t>
      </w:r>
      <w:r w:rsidR="0073428A">
        <w:rPr>
          <w:i/>
          <w:color w:val="000000" w:themeColor="text1"/>
          <w:sz w:val="22"/>
          <w:szCs w:val="22"/>
        </w:rPr>
        <w:t>69</w:t>
      </w:r>
      <w:r w:rsidRPr="00CE1081">
        <w:rPr>
          <w:i/>
          <w:color w:val="000000" w:themeColor="text1"/>
          <w:sz w:val="22"/>
          <w:szCs w:val="22"/>
        </w:rPr>
        <w:t xml:space="preserve"> del Reg. (UE) n. 1</w:t>
      </w:r>
      <w:r w:rsidR="0073428A">
        <w:rPr>
          <w:i/>
          <w:color w:val="000000" w:themeColor="text1"/>
          <w:sz w:val="22"/>
          <w:szCs w:val="22"/>
        </w:rPr>
        <w:t>060</w:t>
      </w:r>
      <w:r w:rsidRPr="00CE1081">
        <w:rPr>
          <w:i/>
          <w:color w:val="000000" w:themeColor="text1"/>
          <w:sz w:val="22"/>
          <w:szCs w:val="22"/>
        </w:rPr>
        <w:t>/20</w:t>
      </w:r>
      <w:r w:rsidR="0073428A">
        <w:rPr>
          <w:i/>
          <w:color w:val="000000" w:themeColor="text1"/>
          <w:sz w:val="22"/>
          <w:szCs w:val="22"/>
        </w:rPr>
        <w:t>21</w:t>
      </w:r>
      <w:r w:rsidRPr="00CE1081">
        <w:rPr>
          <w:i/>
          <w:color w:val="000000" w:themeColor="text1"/>
          <w:sz w:val="22"/>
          <w:szCs w:val="22"/>
        </w:rPr>
        <w:t>;</w:t>
      </w:r>
    </w:p>
    <w:p w14:paraId="7EF339D8" w14:textId="77777777" w:rsidR="0079130C" w:rsidRPr="00CE1081" w:rsidRDefault="0079130C" w:rsidP="0079130C">
      <w:pPr>
        <w:pStyle w:val="Paragrafoelenco"/>
        <w:numPr>
          <w:ilvl w:val="1"/>
          <w:numId w:val="1"/>
        </w:numPr>
        <w:jc w:val="both"/>
        <w:rPr>
          <w:i/>
          <w:color w:val="000000" w:themeColor="text1"/>
          <w:sz w:val="22"/>
          <w:szCs w:val="22"/>
        </w:rPr>
      </w:pPr>
      <w:r w:rsidRPr="00CE1081">
        <w:rPr>
          <w:i/>
          <w:color w:val="000000" w:themeColor="text1"/>
          <w:sz w:val="22"/>
          <w:szCs w:val="22"/>
        </w:rPr>
        <w:t xml:space="preserve">indicare se è stato fornito </w:t>
      </w:r>
      <w:proofErr w:type="spellStart"/>
      <w:r w:rsidRPr="00CE1081">
        <w:rPr>
          <w:i/>
          <w:color w:val="000000" w:themeColor="text1"/>
          <w:sz w:val="22"/>
          <w:szCs w:val="22"/>
        </w:rPr>
        <w:t>all'AdA</w:t>
      </w:r>
      <w:proofErr w:type="spellEnd"/>
      <w:r w:rsidRPr="00CE1081">
        <w:rPr>
          <w:i/>
          <w:color w:val="000000" w:themeColor="text1"/>
          <w:sz w:val="22"/>
          <w:szCs w:val="22"/>
        </w:rPr>
        <w:t xml:space="preserve"> il risultato del test effettuato sulla versione corrente del sistema informatico e se potrebbe essere fatta una conclusione o una raccomandazione in questa fase di sviluppo del sistema informatico (ad. es. in termini di separazione delle funzioni, flussi di lavoro, profili degli utenti, sicurezza, ecc.)</w:t>
      </w:r>
    </w:p>
    <w:p w14:paraId="53FF1D09" w14:textId="77777777" w:rsidR="0079130C" w:rsidRDefault="0079130C" w:rsidP="0079130C">
      <w:pPr>
        <w:pStyle w:val="Paragrafoelenco"/>
        <w:numPr>
          <w:ilvl w:val="0"/>
          <w:numId w:val="1"/>
        </w:numPr>
        <w:jc w:val="both"/>
        <w:rPr>
          <w:b/>
          <w:i/>
          <w:color w:val="000000" w:themeColor="text1"/>
          <w:sz w:val="22"/>
          <w:szCs w:val="22"/>
        </w:rPr>
      </w:pPr>
      <w:r w:rsidRPr="00CE1081">
        <w:rPr>
          <w:b/>
          <w:i/>
          <w:color w:val="000000" w:themeColor="text1"/>
          <w:sz w:val="22"/>
          <w:szCs w:val="22"/>
        </w:rPr>
        <w:t>se si intende utilizzare il sistema dell’</w:t>
      </w:r>
      <w:proofErr w:type="spellStart"/>
      <w:r w:rsidRPr="00CE1081">
        <w:rPr>
          <w:b/>
          <w:i/>
          <w:color w:val="000000" w:themeColor="text1"/>
          <w:sz w:val="22"/>
          <w:szCs w:val="22"/>
        </w:rPr>
        <w:t>AdG</w:t>
      </w:r>
      <w:proofErr w:type="spellEnd"/>
      <w:r w:rsidRPr="00CE1081">
        <w:rPr>
          <w:b/>
          <w:i/>
          <w:color w:val="000000" w:themeColor="text1"/>
          <w:sz w:val="22"/>
          <w:szCs w:val="22"/>
        </w:rPr>
        <w:t xml:space="preserve"> in corso di aggiornamento</w:t>
      </w:r>
    </w:p>
    <w:p w14:paraId="48821DDB" w14:textId="77777777" w:rsidR="00DE5326" w:rsidRDefault="00DE5326" w:rsidP="00F31FD3">
      <w:pPr>
        <w:jc w:val="both"/>
        <w:rPr>
          <w:b/>
          <w:i/>
          <w:color w:val="000000" w:themeColor="text1"/>
          <w:sz w:val="22"/>
          <w:szCs w:val="22"/>
        </w:rPr>
      </w:pPr>
    </w:p>
    <w:p w14:paraId="577CD737" w14:textId="3744CF21" w:rsidR="00DE5326" w:rsidRDefault="00DE5326" w:rsidP="00F31FD3">
      <w:pPr>
        <w:jc w:val="both"/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</w:pPr>
      <w:r w:rsidRPr="00F31FD3"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  <w:t>4</w:t>
      </w:r>
      <w:r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  <w:t>.2.7.</w:t>
      </w:r>
      <w:r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  <w:tab/>
        <w:t>La contabilità separata e la verifica contabile</w:t>
      </w:r>
    </w:p>
    <w:p w14:paraId="799E328D" w14:textId="5FBD791B" w:rsidR="00B33DB1" w:rsidRPr="00B33DB1" w:rsidRDefault="00EC3F65" w:rsidP="00B33DB1">
      <w:pPr>
        <w:pStyle w:val="Paragrafoelenco"/>
        <w:numPr>
          <w:ilvl w:val="0"/>
          <w:numId w:val="9"/>
        </w:numPr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I</w:t>
      </w:r>
      <w:r w:rsidR="00DE5326">
        <w:rPr>
          <w:i/>
          <w:color w:val="000000" w:themeColor="text1"/>
          <w:sz w:val="22"/>
          <w:szCs w:val="22"/>
        </w:rPr>
        <w:t xml:space="preserve">ndicare se l’OI dispone di </w:t>
      </w:r>
      <w:r w:rsidRPr="00EC3F65">
        <w:rPr>
          <w:i/>
          <w:color w:val="000000" w:themeColor="text1"/>
          <w:sz w:val="22"/>
          <w:szCs w:val="22"/>
        </w:rPr>
        <w:t>una procedura per verificare che i Beneficiari mantengano un sistema di contabilità separata, o una codificazione contabile adeguata per tutte le transazioni relative a un'operazione</w:t>
      </w:r>
      <w:r w:rsidR="00B33DB1">
        <w:rPr>
          <w:i/>
          <w:color w:val="000000" w:themeColor="text1"/>
          <w:sz w:val="22"/>
          <w:szCs w:val="22"/>
        </w:rPr>
        <w:t xml:space="preserve"> </w:t>
      </w:r>
      <w:r w:rsidR="00B33DB1" w:rsidRPr="00B33DB1">
        <w:rPr>
          <w:i/>
          <w:color w:val="000000" w:themeColor="text1"/>
          <w:sz w:val="22"/>
          <w:szCs w:val="22"/>
        </w:rPr>
        <w:t>che consenta la verifica:</w:t>
      </w:r>
    </w:p>
    <w:p w14:paraId="450646C8" w14:textId="77777777" w:rsidR="00B33DB1" w:rsidRPr="00B33DB1" w:rsidRDefault="00B33DB1" w:rsidP="00F31FD3">
      <w:pPr>
        <w:pStyle w:val="Paragrafoelenco"/>
        <w:jc w:val="both"/>
        <w:rPr>
          <w:i/>
          <w:color w:val="000000" w:themeColor="text1"/>
          <w:sz w:val="22"/>
          <w:szCs w:val="22"/>
        </w:rPr>
      </w:pPr>
      <w:r w:rsidRPr="00B33DB1">
        <w:rPr>
          <w:i/>
          <w:color w:val="000000" w:themeColor="text1"/>
          <w:sz w:val="22"/>
          <w:szCs w:val="22"/>
        </w:rPr>
        <w:t xml:space="preserve">- della corretta assegnazione delle spese che si riferiscono, solo in parte, ad operazioni cofinanziate; </w:t>
      </w:r>
    </w:p>
    <w:p w14:paraId="4AE53DB3" w14:textId="1CD62E5D" w:rsidR="00DE5326" w:rsidRPr="00F31FD3" w:rsidRDefault="00B33DB1" w:rsidP="00F31FD3">
      <w:pPr>
        <w:pStyle w:val="Paragrafoelenco"/>
        <w:jc w:val="both"/>
        <w:rPr>
          <w:i/>
          <w:color w:val="000000" w:themeColor="text1"/>
          <w:sz w:val="22"/>
          <w:szCs w:val="22"/>
        </w:rPr>
      </w:pPr>
      <w:r w:rsidRPr="00B33DB1">
        <w:rPr>
          <w:i/>
          <w:color w:val="000000" w:themeColor="text1"/>
          <w:sz w:val="22"/>
          <w:szCs w:val="22"/>
        </w:rPr>
        <w:t>- di alcune tipologie di spese che sono considerate ammissibili solo entro determinati limiti o in proporzione ad altri costi.</w:t>
      </w:r>
    </w:p>
    <w:p w14:paraId="1B0A0BB3" w14:textId="77777777" w:rsidR="00DE5326" w:rsidRDefault="00DE5326" w:rsidP="00F31FD3">
      <w:pPr>
        <w:jc w:val="both"/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</w:pPr>
    </w:p>
    <w:p w14:paraId="52DB7C4C" w14:textId="65CAFEFA" w:rsidR="002F42F1" w:rsidRDefault="00DE5326" w:rsidP="00F31FD3">
      <w:pPr>
        <w:jc w:val="both"/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</w:pPr>
      <w:r w:rsidRPr="00DE5326"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  <w:t>4.2.8.</w:t>
      </w:r>
      <w:r w:rsidRPr="00DE5326"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  <w:tab/>
      </w:r>
      <w:r w:rsidR="002F42F1"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  <w:t>Il</w:t>
      </w:r>
      <w:r w:rsidRPr="00DE5326"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  <w:t xml:space="preserve"> trattamento delle irregolarità e di recuperi</w:t>
      </w:r>
    </w:p>
    <w:p w14:paraId="1CAB19D8" w14:textId="37A49C6E" w:rsidR="002F42F1" w:rsidRPr="00F31FD3" w:rsidRDefault="002F42F1" w:rsidP="00F31FD3">
      <w:pPr>
        <w:numPr>
          <w:ilvl w:val="0"/>
          <w:numId w:val="9"/>
        </w:numPr>
        <w:contextualSpacing/>
        <w:jc w:val="both"/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</w:pPr>
      <w:r w:rsidRPr="002F42F1">
        <w:rPr>
          <w:i/>
          <w:color w:val="000000" w:themeColor="text1"/>
          <w:sz w:val="22"/>
          <w:szCs w:val="22"/>
        </w:rPr>
        <w:t xml:space="preserve">Indicare se </w:t>
      </w:r>
      <w:r>
        <w:rPr>
          <w:i/>
          <w:color w:val="000000" w:themeColor="text1"/>
          <w:sz w:val="22"/>
          <w:szCs w:val="22"/>
        </w:rPr>
        <w:t xml:space="preserve">l’OI dispone di adeguate ed efficienti procedure scritte </w:t>
      </w:r>
      <w:r w:rsidRPr="002F42F1">
        <w:rPr>
          <w:i/>
          <w:color w:val="000000" w:themeColor="text1"/>
          <w:sz w:val="22"/>
          <w:szCs w:val="22"/>
        </w:rPr>
        <w:t>per trattare le irregolarità inclusi i casi di frode e per individuare i "campanelli d'allarme" e gli indicatori di frode mediante l'uso di uno strumento di estrazioni di dati o di valutazione del rischio</w:t>
      </w:r>
    </w:p>
    <w:p w14:paraId="34A52034" w14:textId="77777777" w:rsidR="00267094" w:rsidRDefault="002F42F1" w:rsidP="002F42F1">
      <w:pPr>
        <w:numPr>
          <w:ilvl w:val="0"/>
          <w:numId w:val="9"/>
        </w:numPr>
        <w:contextualSpacing/>
        <w:jc w:val="both"/>
        <w:rPr>
          <w:i/>
          <w:color w:val="000000" w:themeColor="text1"/>
          <w:sz w:val="22"/>
          <w:szCs w:val="22"/>
        </w:rPr>
      </w:pPr>
      <w:r w:rsidRPr="00F31FD3">
        <w:rPr>
          <w:i/>
          <w:color w:val="000000" w:themeColor="text1"/>
          <w:sz w:val="22"/>
          <w:szCs w:val="22"/>
        </w:rPr>
        <w:t>Indicare</w:t>
      </w:r>
      <w:r>
        <w:rPr>
          <w:i/>
          <w:color w:val="000000" w:themeColor="text1"/>
          <w:sz w:val="22"/>
          <w:szCs w:val="22"/>
        </w:rPr>
        <w:t xml:space="preserve"> se l</w:t>
      </w:r>
      <w:r w:rsidRPr="002F42F1">
        <w:rPr>
          <w:i/>
          <w:color w:val="000000" w:themeColor="text1"/>
          <w:sz w:val="22"/>
          <w:szCs w:val="22"/>
        </w:rPr>
        <w:t>e procedure per la gestione delle irregolarità e i casi di frode prevedono la correzione delle irregolarità, compresa la frode sospetta e quelle accertata</w:t>
      </w:r>
    </w:p>
    <w:p w14:paraId="002BE7E8" w14:textId="77777777" w:rsidR="00267094" w:rsidRDefault="00267094" w:rsidP="002F42F1">
      <w:pPr>
        <w:numPr>
          <w:ilvl w:val="0"/>
          <w:numId w:val="9"/>
        </w:numPr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Indicare se e</w:t>
      </w:r>
      <w:r w:rsidRPr="00267094">
        <w:rPr>
          <w:i/>
          <w:color w:val="000000" w:themeColor="text1"/>
          <w:sz w:val="22"/>
          <w:szCs w:val="22"/>
        </w:rPr>
        <w:t>sistono specifiche istruzioni relative alla segnalazione e rettifica delle irregolarità e alle procedure di recupero degli importi indebitamente versati, compresi gli interessi di mora, nonché una procedura per la registrazione degli interessi relativi a recuperi</w:t>
      </w:r>
    </w:p>
    <w:p w14:paraId="388567EB" w14:textId="07801493" w:rsidR="007A15B6" w:rsidRDefault="00267094" w:rsidP="00F31FD3">
      <w:pPr>
        <w:numPr>
          <w:ilvl w:val="0"/>
          <w:numId w:val="9"/>
        </w:numPr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 xml:space="preserve">Indicare se </w:t>
      </w:r>
      <w:r w:rsidRPr="00F31FD3">
        <w:rPr>
          <w:i/>
          <w:color w:val="000000" w:themeColor="text1"/>
          <w:sz w:val="22"/>
          <w:szCs w:val="22"/>
        </w:rPr>
        <w:t>la procedura prevista per la gestione delle irregolarità e i recuperi (incluso il diagramma di flusso) è conforme alle prescrizioni UE</w:t>
      </w:r>
      <w:r>
        <w:rPr>
          <w:i/>
          <w:color w:val="000000" w:themeColor="text1"/>
          <w:sz w:val="22"/>
          <w:szCs w:val="22"/>
        </w:rPr>
        <w:t xml:space="preserve"> e se è indicato </w:t>
      </w:r>
      <w:r w:rsidRPr="00267094">
        <w:rPr>
          <w:i/>
          <w:color w:val="000000" w:themeColor="text1"/>
          <w:sz w:val="22"/>
          <w:szCs w:val="22"/>
        </w:rPr>
        <w:t>all'interno delle procedure l'obbligo per il personale di segnalare le irregolarità e i casi di frode sospetta</w:t>
      </w:r>
    </w:p>
    <w:p w14:paraId="57A1FE47" w14:textId="30883143" w:rsidR="00267094" w:rsidRPr="00F31FD3" w:rsidRDefault="00267094" w:rsidP="00F31FD3">
      <w:pPr>
        <w:numPr>
          <w:ilvl w:val="0"/>
          <w:numId w:val="9"/>
        </w:numPr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Indicare se e</w:t>
      </w:r>
      <w:r w:rsidRPr="00267094">
        <w:rPr>
          <w:i/>
          <w:color w:val="000000" w:themeColor="text1"/>
          <w:sz w:val="22"/>
          <w:szCs w:val="22"/>
        </w:rPr>
        <w:t xml:space="preserve">siste una procedura in vigore per il </w:t>
      </w:r>
      <w:proofErr w:type="spellStart"/>
      <w:r w:rsidRPr="00267094">
        <w:rPr>
          <w:i/>
          <w:color w:val="000000" w:themeColor="text1"/>
          <w:sz w:val="22"/>
          <w:szCs w:val="22"/>
        </w:rPr>
        <w:t>whistle-blowing</w:t>
      </w:r>
      <w:proofErr w:type="spellEnd"/>
      <w:r w:rsidRPr="00267094">
        <w:rPr>
          <w:i/>
          <w:color w:val="000000" w:themeColor="text1"/>
          <w:sz w:val="22"/>
          <w:szCs w:val="22"/>
        </w:rPr>
        <w:t xml:space="preserve"> (vale a dire per quanto riguarda il diritto di informare un punto di contatto indipendente esterno per le irregolarità o gli illeciti)</w:t>
      </w:r>
    </w:p>
    <w:sectPr w:rsidR="00267094" w:rsidRPr="00F31FD3" w:rsidSect="005447C7">
      <w:footerReference w:type="even" r:id="rId8"/>
      <w:footerReference w:type="default" r:id="rId9"/>
      <w:headerReference w:type="first" r:id="rId10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49BCA" w14:textId="77777777" w:rsidR="001E19FD" w:rsidRDefault="001E19FD" w:rsidP="008C5384">
      <w:r>
        <w:separator/>
      </w:r>
    </w:p>
  </w:endnote>
  <w:endnote w:type="continuationSeparator" w:id="0">
    <w:p w14:paraId="7211B6E7" w14:textId="77777777" w:rsidR="001E19FD" w:rsidRDefault="001E19FD" w:rsidP="008C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705AD" w14:textId="77777777" w:rsidR="008C5384" w:rsidRDefault="008C5384" w:rsidP="00E9228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EB7FE9" w14:textId="77777777" w:rsidR="008C5384" w:rsidRDefault="008C5384" w:rsidP="008C538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EE2BD" w14:textId="77777777" w:rsidR="008C5384" w:rsidRDefault="008C5384" w:rsidP="00E9228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374D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17938B2C" w14:textId="77777777" w:rsidR="008C5384" w:rsidRDefault="008C5384" w:rsidP="008C538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259E1" w14:textId="77777777" w:rsidR="001E19FD" w:rsidRDefault="001E19FD" w:rsidP="008C5384">
      <w:r>
        <w:separator/>
      </w:r>
    </w:p>
  </w:footnote>
  <w:footnote w:type="continuationSeparator" w:id="0">
    <w:p w14:paraId="38E41533" w14:textId="77777777" w:rsidR="001E19FD" w:rsidRDefault="001E19FD" w:rsidP="008C5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2549"/>
      <w:gridCol w:w="2609"/>
      <w:gridCol w:w="2411"/>
      <w:gridCol w:w="2063"/>
    </w:tblGrid>
    <w:tr w:rsidR="005447C7" w:rsidRPr="00253BB2" w14:paraId="47E4ADFE" w14:textId="77777777" w:rsidTr="00DF0B43">
      <w:trPr>
        <w:cantSplit/>
        <w:trHeight w:val="993"/>
      </w:trPr>
      <w:tc>
        <w:tcPr>
          <w:tcW w:w="2549" w:type="dxa"/>
          <w:vAlign w:val="center"/>
        </w:tcPr>
        <w:p w14:paraId="069BED8A" w14:textId="4C59DAA4" w:rsidR="005447C7" w:rsidRPr="00253BB2" w:rsidRDefault="00BF3468" w:rsidP="00F31FD3">
          <w:pPr>
            <w:spacing w:after="100" w:afterAutospacing="1"/>
            <w:rPr>
              <w:noProof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60288" behindDoc="1" locked="0" layoutInCell="1" allowOverlap="1" wp14:anchorId="25A3188C" wp14:editId="36050C31">
                <wp:simplePos x="0" y="0"/>
                <wp:positionH relativeFrom="page">
                  <wp:posOffset>66675</wp:posOffset>
                </wp:positionH>
                <wp:positionV relativeFrom="page">
                  <wp:posOffset>133350</wp:posOffset>
                </wp:positionV>
                <wp:extent cx="6067425" cy="400050"/>
                <wp:effectExtent l="0" t="0" r="9525" b="0"/>
                <wp:wrapNone/>
                <wp:docPr id="12" name="Immag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74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609" w:type="dxa"/>
        </w:tcPr>
        <w:p w14:paraId="26F473B8" w14:textId="7E322A26" w:rsidR="005447C7" w:rsidRPr="00253BB2" w:rsidRDefault="005447C7" w:rsidP="00DF0B43">
          <w:pPr>
            <w:spacing w:after="100" w:afterAutospacing="1"/>
            <w:jc w:val="center"/>
            <w:rPr>
              <w:noProof/>
            </w:rPr>
          </w:pPr>
        </w:p>
      </w:tc>
      <w:tc>
        <w:tcPr>
          <w:tcW w:w="2411" w:type="dxa"/>
        </w:tcPr>
        <w:p w14:paraId="0B08103F" w14:textId="2489E950" w:rsidR="005447C7" w:rsidRPr="00253BB2" w:rsidRDefault="005447C7" w:rsidP="00DF0B43">
          <w:pPr>
            <w:spacing w:after="100" w:afterAutospacing="1"/>
            <w:jc w:val="center"/>
            <w:rPr>
              <w:noProof/>
            </w:rPr>
          </w:pPr>
        </w:p>
      </w:tc>
      <w:tc>
        <w:tcPr>
          <w:tcW w:w="2063" w:type="dxa"/>
        </w:tcPr>
        <w:p w14:paraId="4F63EF6B" w14:textId="7B928606" w:rsidR="005447C7" w:rsidRDefault="005447C7" w:rsidP="00DF0B43">
          <w:pPr>
            <w:spacing w:after="100" w:afterAutospacing="1"/>
            <w:jc w:val="center"/>
            <w:rPr>
              <w:noProof/>
              <w:lang w:eastAsia="it-IT"/>
            </w:rPr>
          </w:pPr>
        </w:p>
      </w:tc>
    </w:tr>
  </w:tbl>
  <w:p w14:paraId="5A283735" w14:textId="77777777" w:rsidR="005447C7" w:rsidRDefault="005447C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3694"/>
    <w:multiLevelType w:val="multilevel"/>
    <w:tmpl w:val="0410001D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3)"/>
      <w:lvlJc w:val="left"/>
      <w:pPr>
        <w:ind w:left="2148" w:hanging="360"/>
      </w:pPr>
    </w:lvl>
    <w:lvl w:ilvl="3">
      <w:start w:val="1"/>
      <w:numFmt w:val="decimal"/>
      <w:lvlText w:val="(%4)"/>
      <w:lvlJc w:val="left"/>
      <w:pPr>
        <w:ind w:left="2508" w:hanging="360"/>
      </w:pPr>
    </w:lvl>
    <w:lvl w:ilvl="4">
      <w:start w:val="1"/>
      <w:numFmt w:val="lowerLetter"/>
      <w:lvlText w:val="(%5)"/>
      <w:lvlJc w:val="left"/>
      <w:pPr>
        <w:ind w:left="2868" w:hanging="360"/>
      </w:pPr>
    </w:lvl>
    <w:lvl w:ilvl="5">
      <w:start w:val="1"/>
      <w:numFmt w:val="lowerRoman"/>
      <w:lvlText w:val="(%6)"/>
      <w:lvlJc w:val="left"/>
      <w:pPr>
        <w:ind w:left="3228" w:hanging="360"/>
      </w:pPr>
    </w:lvl>
    <w:lvl w:ilvl="6">
      <w:start w:val="1"/>
      <w:numFmt w:val="decimal"/>
      <w:lvlText w:val="%7."/>
      <w:lvlJc w:val="left"/>
      <w:pPr>
        <w:ind w:left="358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left"/>
      <w:pPr>
        <w:ind w:left="4308" w:hanging="360"/>
      </w:pPr>
    </w:lvl>
  </w:abstractNum>
  <w:abstractNum w:abstractNumId="1">
    <w:nsid w:val="0E446A8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3C55780"/>
    <w:multiLevelType w:val="hybridMultilevel"/>
    <w:tmpl w:val="412A5AB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3">
    <w:nsid w:val="395C4957"/>
    <w:multiLevelType w:val="hybridMultilevel"/>
    <w:tmpl w:val="1242B2FA"/>
    <w:lvl w:ilvl="0" w:tplc="136A2FC6">
      <w:start w:val="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A3D4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A814E49"/>
    <w:multiLevelType w:val="multilevel"/>
    <w:tmpl w:val="3C2A7848"/>
    <w:lvl w:ilvl="0">
      <w:start w:val="1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BD21467"/>
    <w:multiLevelType w:val="hybridMultilevel"/>
    <w:tmpl w:val="D3947A78"/>
    <w:lvl w:ilvl="0" w:tplc="829E6072">
      <w:start w:val="1"/>
      <w:numFmt w:val="bullet"/>
      <w:lvlText w:val=""/>
      <w:lvlJc w:val="left"/>
      <w:pPr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7">
    <w:nsid w:val="6F571CDA"/>
    <w:multiLevelType w:val="hybridMultilevel"/>
    <w:tmpl w:val="1B54E4A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3C17E52"/>
    <w:multiLevelType w:val="hybridMultilevel"/>
    <w:tmpl w:val="A358D0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0C"/>
    <w:rsid w:val="00030F87"/>
    <w:rsid w:val="000633AC"/>
    <w:rsid w:val="000907C6"/>
    <w:rsid w:val="00090E90"/>
    <w:rsid w:val="000A30B7"/>
    <w:rsid w:val="000F3A8F"/>
    <w:rsid w:val="000F4AC4"/>
    <w:rsid w:val="00107822"/>
    <w:rsid w:val="0014071B"/>
    <w:rsid w:val="001E19FD"/>
    <w:rsid w:val="00267094"/>
    <w:rsid w:val="002F42F1"/>
    <w:rsid w:val="003A7E57"/>
    <w:rsid w:val="00412A72"/>
    <w:rsid w:val="004352D9"/>
    <w:rsid w:val="004A1C7D"/>
    <w:rsid w:val="004F1524"/>
    <w:rsid w:val="005447C7"/>
    <w:rsid w:val="00573FD4"/>
    <w:rsid w:val="0059512E"/>
    <w:rsid w:val="005E0481"/>
    <w:rsid w:val="00602112"/>
    <w:rsid w:val="00605B5D"/>
    <w:rsid w:val="00667B3B"/>
    <w:rsid w:val="00682B7F"/>
    <w:rsid w:val="0073428A"/>
    <w:rsid w:val="0079130C"/>
    <w:rsid w:val="007A260B"/>
    <w:rsid w:val="007B4FE8"/>
    <w:rsid w:val="007C1459"/>
    <w:rsid w:val="007E4C86"/>
    <w:rsid w:val="00804110"/>
    <w:rsid w:val="00814C81"/>
    <w:rsid w:val="00872F34"/>
    <w:rsid w:val="008B1DB5"/>
    <w:rsid w:val="008C5384"/>
    <w:rsid w:val="009100A2"/>
    <w:rsid w:val="0093226F"/>
    <w:rsid w:val="00972959"/>
    <w:rsid w:val="00985900"/>
    <w:rsid w:val="009D0055"/>
    <w:rsid w:val="009F1FA0"/>
    <w:rsid w:val="00A16E2A"/>
    <w:rsid w:val="00A429D1"/>
    <w:rsid w:val="00AB7A91"/>
    <w:rsid w:val="00AC28DC"/>
    <w:rsid w:val="00AD6B65"/>
    <w:rsid w:val="00B1374D"/>
    <w:rsid w:val="00B33DB1"/>
    <w:rsid w:val="00BD5237"/>
    <w:rsid w:val="00BF02BD"/>
    <w:rsid w:val="00BF3117"/>
    <w:rsid w:val="00BF3468"/>
    <w:rsid w:val="00C64F5A"/>
    <w:rsid w:val="00C92C9A"/>
    <w:rsid w:val="00CA3A91"/>
    <w:rsid w:val="00CA70B7"/>
    <w:rsid w:val="00CE1081"/>
    <w:rsid w:val="00CF223A"/>
    <w:rsid w:val="00DB3DED"/>
    <w:rsid w:val="00DE2779"/>
    <w:rsid w:val="00DE5326"/>
    <w:rsid w:val="00E27AE1"/>
    <w:rsid w:val="00EC3F65"/>
    <w:rsid w:val="00EC79D1"/>
    <w:rsid w:val="00F31FD3"/>
    <w:rsid w:val="00F61162"/>
    <w:rsid w:val="00F84BB9"/>
    <w:rsid w:val="00F95230"/>
    <w:rsid w:val="00FB5600"/>
    <w:rsid w:val="00FD65A4"/>
    <w:rsid w:val="00FF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B37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42F1"/>
  </w:style>
  <w:style w:type="paragraph" w:styleId="Titolo1">
    <w:name w:val="heading 1"/>
    <w:basedOn w:val="Normale"/>
    <w:next w:val="Normale"/>
    <w:link w:val="Titolo1Carattere"/>
    <w:uiPriority w:val="9"/>
    <w:qFormat/>
    <w:rsid w:val="007913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913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13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9130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913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13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13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13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aragrafoelenco">
    <w:name w:val="List Paragraph"/>
    <w:basedOn w:val="Normale"/>
    <w:uiPriority w:val="34"/>
    <w:qFormat/>
    <w:rsid w:val="0079130C"/>
    <w:pPr>
      <w:ind w:left="720"/>
      <w:contextualSpacing/>
    </w:pPr>
  </w:style>
  <w:style w:type="table" w:styleId="Grigliatabella">
    <w:name w:val="Table Grid"/>
    <w:basedOn w:val="Tabellanormale"/>
    <w:uiPriority w:val="59"/>
    <w:rsid w:val="00791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C53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384"/>
  </w:style>
  <w:style w:type="character" w:styleId="Numeropagina">
    <w:name w:val="page number"/>
    <w:basedOn w:val="Carpredefinitoparagrafo"/>
    <w:uiPriority w:val="99"/>
    <w:semiHidden/>
    <w:unhideWhenUsed/>
    <w:rsid w:val="008C5384"/>
  </w:style>
  <w:style w:type="paragraph" w:styleId="Intestazione">
    <w:name w:val="header"/>
    <w:basedOn w:val="Normale"/>
    <w:link w:val="IntestazioneCarattere"/>
    <w:uiPriority w:val="99"/>
    <w:unhideWhenUsed/>
    <w:rsid w:val="005447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4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42F1"/>
  </w:style>
  <w:style w:type="paragraph" w:styleId="Titolo1">
    <w:name w:val="heading 1"/>
    <w:basedOn w:val="Normale"/>
    <w:next w:val="Normale"/>
    <w:link w:val="Titolo1Carattere"/>
    <w:uiPriority w:val="9"/>
    <w:qFormat/>
    <w:rsid w:val="007913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913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13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9130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913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13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13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13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aragrafoelenco">
    <w:name w:val="List Paragraph"/>
    <w:basedOn w:val="Normale"/>
    <w:uiPriority w:val="34"/>
    <w:qFormat/>
    <w:rsid w:val="0079130C"/>
    <w:pPr>
      <w:ind w:left="720"/>
      <w:contextualSpacing/>
    </w:pPr>
  </w:style>
  <w:style w:type="table" w:styleId="Grigliatabella">
    <w:name w:val="Table Grid"/>
    <w:basedOn w:val="Tabellanormale"/>
    <w:uiPriority w:val="59"/>
    <w:rsid w:val="00791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C53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384"/>
  </w:style>
  <w:style w:type="character" w:styleId="Numeropagina">
    <w:name w:val="page number"/>
    <w:basedOn w:val="Carpredefinitoparagrafo"/>
    <w:uiPriority w:val="99"/>
    <w:semiHidden/>
    <w:unhideWhenUsed/>
    <w:rsid w:val="008C5384"/>
  </w:style>
  <w:style w:type="paragraph" w:styleId="Intestazione">
    <w:name w:val="header"/>
    <w:basedOn w:val="Normale"/>
    <w:link w:val="IntestazioneCarattere"/>
    <w:uiPriority w:val="99"/>
    <w:unhideWhenUsed/>
    <w:rsid w:val="005447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4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2985</Words>
  <Characters>17015</Characters>
  <Application>Microsoft Office Word</Application>
  <DocSecurity>0</DocSecurity>
  <Lines>141</Lines>
  <Paragraphs>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/>
      <vt:lpstr>Allegato 1 – Indice di relazione per la relazione sul sistema di gestione e cont</vt:lpstr>
      <vt:lpstr>    1. 	DATI GENERALI </vt:lpstr>
      <vt:lpstr>        1.1	Titolo del PO</vt:lpstr>
      <vt:lpstr>        1.2	Codice CCI</vt:lpstr>
      <vt:lpstr>        1.3	Pianificazione attuativa o altro atto di individuazione dell’OI</vt:lpstr>
      <vt:lpstr>        1.4 	Anagrafica</vt:lpstr>
      <vt:lpstr>        1.2	Status giuridico</vt:lpstr>
      <vt:lpstr>    2. 	ASSETTO ORGANIZZATIVO DELL’OI </vt:lpstr>
      <vt:lpstr>        2.1	Organigramma</vt:lpstr>
      <vt:lpstr>        2.2	Funzionigramma</vt:lpstr>
      <vt:lpstr>        2.3	Personale dedicato al PO</vt:lpstr>
      <vt:lpstr>        2.4	Procedure di selezione del personale e gestione del personale</vt:lpstr>
      <vt:lpstr>        2.5	Procedure di formazione e aggiornamento del personale</vt:lpstr>
      <vt:lpstr>        2.6	Codice etico dell’OI</vt:lpstr>
      <vt:lpstr>    3.	GESTIONE DEI RISCHI</vt:lpstr>
      <vt:lpstr>    4.  	GESTIONE E CONTROLLO DELLE AZIONI DELEGATE ALL’OI</vt:lpstr>
      <vt:lpstr>        4.1	Selezione delle operazioni</vt:lpstr>
      <vt:lpstr>        4.2	Verifiche di gestione</vt:lpstr>
    </vt:vector>
  </TitlesOfParts>
  <Company>Regione Siciliana</Company>
  <LinksUpToDate>false</LinksUpToDate>
  <CharactersWithSpaces>19961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Rosica</dc:creator>
  <cp:lastModifiedBy>basso claudio</cp:lastModifiedBy>
  <cp:revision>10</cp:revision>
  <cp:lastPrinted>2023-07-04T12:52:00Z</cp:lastPrinted>
  <dcterms:created xsi:type="dcterms:W3CDTF">2023-06-27T08:45:00Z</dcterms:created>
  <dcterms:modified xsi:type="dcterms:W3CDTF">2023-07-04T12:52:00Z</dcterms:modified>
</cp:coreProperties>
</file>